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Ex1.xml" ContentType="application/vnd.ms-office.chartex+xml"/>
  <Override PartName="/word/charts/style9.xml" ContentType="application/vnd.ms-office.chartstyle+xml"/>
  <Override PartName="/word/charts/colors9.xml" ContentType="application/vnd.ms-office.chartcolorstyle+xml"/>
  <Override PartName="/word/charts/chartEx2.xml" ContentType="application/vnd.ms-office.chartex+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C4" w:rsidRPr="00BC21C4" w:rsidRDefault="00BC21C4" w:rsidP="00BC21C4">
      <w:pPr>
        <w:pStyle w:val="Tugevtsitaat"/>
        <w:rPr>
          <w:sz w:val="40"/>
          <w:szCs w:val="40"/>
        </w:rPr>
      </w:pPr>
      <w:r w:rsidRPr="00BC21C4">
        <w:rPr>
          <w:sz w:val="40"/>
          <w:szCs w:val="40"/>
        </w:rPr>
        <w:t xml:space="preserve">2019 pilootprojekt: </w:t>
      </w:r>
    </w:p>
    <w:p w:rsidR="00574368" w:rsidRPr="00BC21C4" w:rsidRDefault="00BC21C4" w:rsidP="00BC21C4">
      <w:pPr>
        <w:pStyle w:val="Tugevtsitaat"/>
        <w:rPr>
          <w:sz w:val="40"/>
          <w:szCs w:val="40"/>
        </w:rPr>
      </w:pPr>
      <w:r w:rsidRPr="00BC21C4">
        <w:rPr>
          <w:sz w:val="40"/>
          <w:szCs w:val="40"/>
        </w:rPr>
        <w:t>E</w:t>
      </w:r>
      <w:r w:rsidR="00574368" w:rsidRPr="00BC21C4">
        <w:rPr>
          <w:sz w:val="40"/>
          <w:szCs w:val="40"/>
        </w:rPr>
        <w:t>ttevõtjate halduskoormuse mõõtmine</w:t>
      </w:r>
    </w:p>
    <w:p w:rsidR="008E77E7" w:rsidRDefault="008E77E7" w:rsidP="008E77E7">
      <w:pPr>
        <w:jc w:val="center"/>
        <w:rPr>
          <w:rFonts w:ascii="Times New Roman" w:hAnsi="Times New Roman" w:cs="Times New Roman"/>
          <w:sz w:val="24"/>
          <w:szCs w:val="24"/>
        </w:rPr>
      </w:pPr>
    </w:p>
    <w:p w:rsidR="00574368" w:rsidRDefault="00574368" w:rsidP="00BC21C4">
      <w:pPr>
        <w:pStyle w:val="Pealkiri1"/>
      </w:pPr>
      <w:r w:rsidRPr="002E5107">
        <w:t>VISIOON JA MISSIOON</w:t>
      </w:r>
    </w:p>
    <w:p w:rsidR="00574368" w:rsidRDefault="00574368" w:rsidP="00BC21C4">
      <w:pPr>
        <w:pStyle w:val="Vahedeta"/>
        <w:spacing w:line="360" w:lineRule="auto"/>
        <w:jc w:val="both"/>
        <w:rPr>
          <w:rFonts w:ascii="Times New Roman" w:hAnsi="Times New Roman" w:cs="Times New Roman"/>
          <w:iCs/>
          <w:sz w:val="24"/>
          <w:szCs w:val="24"/>
        </w:rPr>
      </w:pPr>
      <w:r>
        <w:rPr>
          <w:rFonts w:ascii="Times New Roman" w:hAnsi="Times New Roman" w:cs="Times New Roman"/>
          <w:sz w:val="24"/>
          <w:szCs w:val="24"/>
        </w:rPr>
        <w:t>Visioon ja Missioon panevad aluse eesmärkidele ja kavatsustele ettevõtete halduskoormuse mõõtmisel.</w:t>
      </w:r>
      <w:r>
        <w:rPr>
          <w:rFonts w:ascii="Aino" w:hAnsi="Aino"/>
        </w:rPr>
        <w:t xml:space="preserve"> </w:t>
      </w:r>
      <w:r w:rsidRPr="00C64B5E">
        <w:rPr>
          <w:rFonts w:ascii="Times New Roman" w:hAnsi="Times New Roman" w:cs="Times New Roman"/>
          <w:sz w:val="24"/>
          <w:szCs w:val="24"/>
        </w:rPr>
        <w:t>Visiooniks on aidata luua ettevõtetele väiksem halduskoormus riigiga suhtlemisel</w:t>
      </w:r>
      <w:r>
        <w:rPr>
          <w:rFonts w:ascii="Times New Roman" w:hAnsi="Times New Roman" w:cs="Times New Roman"/>
          <w:sz w:val="24"/>
          <w:szCs w:val="24"/>
        </w:rPr>
        <w:t>. Missioon</w:t>
      </w:r>
      <w:r w:rsidR="006E57FB">
        <w:rPr>
          <w:rFonts w:ascii="Times New Roman" w:hAnsi="Times New Roman" w:cs="Times New Roman"/>
          <w:sz w:val="24"/>
          <w:szCs w:val="24"/>
        </w:rPr>
        <w:t xml:space="preserve">iks on vähendada halduskoormust </w:t>
      </w:r>
      <w:r>
        <w:rPr>
          <w:rFonts w:ascii="Times New Roman" w:hAnsi="Times New Roman" w:cs="Times New Roman"/>
          <w:sz w:val="24"/>
          <w:szCs w:val="24"/>
        </w:rPr>
        <w:t xml:space="preserve">teenuste vabas liikumises. </w:t>
      </w:r>
      <w:r>
        <w:rPr>
          <w:rFonts w:ascii="Times New Roman" w:hAnsi="Times New Roman" w:cs="Times New Roman"/>
          <w:iCs/>
          <w:sz w:val="24"/>
          <w:szCs w:val="24"/>
        </w:rPr>
        <w:t>Ehk siis vähendada ettevõtetele kehtestatud bürokraatlikke nõudeid riigiga suhtlemisel, muuta bürokraatia vähendamine püsivaks eesmärgiks ning teostada analüüs</w:t>
      </w:r>
      <w:r w:rsidR="0073111C">
        <w:rPr>
          <w:rFonts w:ascii="Times New Roman" w:hAnsi="Times New Roman" w:cs="Times New Roman"/>
          <w:iCs/>
          <w:sz w:val="24"/>
          <w:szCs w:val="24"/>
        </w:rPr>
        <w:t xml:space="preserve"> </w:t>
      </w:r>
      <w:r>
        <w:rPr>
          <w:rFonts w:ascii="Times New Roman" w:hAnsi="Times New Roman" w:cs="Times New Roman"/>
          <w:iCs/>
          <w:sz w:val="24"/>
          <w:szCs w:val="24"/>
        </w:rPr>
        <w:t>/ ettepanekud ettevõtetele regulatsioonidest tulenevate nõuete vähendamiseks.</w:t>
      </w:r>
    </w:p>
    <w:p w:rsidR="00574368" w:rsidRPr="00B742D0" w:rsidRDefault="00574368" w:rsidP="00574368">
      <w:pPr>
        <w:spacing w:line="360" w:lineRule="auto"/>
        <w:jc w:val="both"/>
        <w:rPr>
          <w:rFonts w:ascii="Times New Roman" w:hAnsi="Times New Roman" w:cs="Times New Roman"/>
          <w:sz w:val="24"/>
          <w:szCs w:val="24"/>
        </w:rPr>
      </w:pPr>
    </w:p>
    <w:p w:rsidR="00574368" w:rsidRPr="000C2138" w:rsidRDefault="00574368" w:rsidP="00BC21C4">
      <w:pPr>
        <w:pStyle w:val="Pealkiri1"/>
      </w:pPr>
      <w:r w:rsidRPr="000C2138">
        <w:t>METOODIKA</w:t>
      </w:r>
      <w:bookmarkStart w:id="0" w:name="_GoBack"/>
      <w:bookmarkEnd w:id="0"/>
    </w:p>
    <w:p w:rsidR="00574368" w:rsidRDefault="00574368" w:rsidP="00BC21C4">
      <w:pPr>
        <w:spacing w:line="360" w:lineRule="auto"/>
        <w:jc w:val="both"/>
        <w:rPr>
          <w:rFonts w:ascii="Times New Roman" w:hAnsi="Times New Roman" w:cs="Times New Roman"/>
          <w:sz w:val="24"/>
          <w:szCs w:val="24"/>
        </w:rPr>
      </w:pPr>
      <w:r w:rsidRPr="00174D50">
        <w:rPr>
          <w:rFonts w:ascii="Times New Roman" w:hAnsi="Times New Roman" w:cs="Times New Roman"/>
          <w:sz w:val="24"/>
          <w:szCs w:val="24"/>
        </w:rPr>
        <w:t>Halduskoormuse mõõtmise aluseks on valitud Eesti majanduse jaoks kõige silmapaistvamad ning aktiivsemad ettevõtted, kes omavad suurt lisandväärtust või siis põhinevad Eesti kapitalil. Samuti on iga</w:t>
      </w:r>
      <w:r w:rsidR="006E57FB">
        <w:rPr>
          <w:rFonts w:ascii="Times New Roman" w:hAnsi="Times New Roman" w:cs="Times New Roman"/>
          <w:sz w:val="24"/>
          <w:szCs w:val="24"/>
        </w:rPr>
        <w:t xml:space="preserve"> ettevõte paistnud silma Eestis</w:t>
      </w:r>
      <w:r w:rsidRPr="00174D50">
        <w:rPr>
          <w:rFonts w:ascii="Times New Roman" w:hAnsi="Times New Roman" w:cs="Times New Roman"/>
          <w:sz w:val="24"/>
          <w:szCs w:val="24"/>
        </w:rPr>
        <w:t xml:space="preserve"> enda produktiivsusega ning sellest lähtuvalt on oluline välja selgitada, et kuidas ettevõtted ise hindavad halduskoormuse vähenemist enda ettevõtte seisukohalt ning milliseid tulevikuväljavaateid nad selles näevad. </w:t>
      </w:r>
    </w:p>
    <w:p w:rsidR="00526E03" w:rsidRPr="00704818" w:rsidRDefault="00526E03" w:rsidP="00526E03">
      <w:pPr>
        <w:spacing w:line="360" w:lineRule="auto"/>
        <w:jc w:val="both"/>
        <w:rPr>
          <w:rFonts w:ascii="Times New Roman" w:hAnsi="Times New Roman" w:cs="Times New Roman"/>
          <w:sz w:val="24"/>
          <w:szCs w:val="24"/>
        </w:rPr>
      </w:pPr>
      <w:r>
        <w:rPr>
          <w:rFonts w:ascii="Times New Roman" w:hAnsi="Times New Roman" w:cs="Times New Roman"/>
          <w:sz w:val="24"/>
          <w:szCs w:val="24"/>
        </w:rPr>
        <w:t>Ettevõtjate halduskoormuse mõõtmise protsess toimis järgmiselt:</w:t>
      </w:r>
    </w:p>
    <w:p w:rsidR="00526E03" w:rsidRDefault="00526E03" w:rsidP="00BC21C4">
      <w:pPr>
        <w:pStyle w:val="Vahede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Ettevõtete kaardistamine, segmentide moodustamine</w:t>
      </w:r>
    </w:p>
    <w:p w:rsidR="00526E03" w:rsidRDefault="00526E03" w:rsidP="00BC21C4">
      <w:pPr>
        <w:pStyle w:val="Vahede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küsimustiku koostamine</w:t>
      </w:r>
    </w:p>
    <w:p w:rsidR="00526E03" w:rsidRDefault="00526E03" w:rsidP="00BC21C4">
      <w:pPr>
        <w:pStyle w:val="Vahede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intervjuude läbiviimine  </w:t>
      </w:r>
    </w:p>
    <w:p w:rsidR="00526E03" w:rsidRDefault="00526E03" w:rsidP="00BC21C4">
      <w:pPr>
        <w:pStyle w:val="Vahede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intervjuude analüüsimine, tulemuste standardiseerimine</w:t>
      </w:r>
    </w:p>
    <w:p w:rsidR="00526E03" w:rsidRDefault="00526E03" w:rsidP="00BC21C4">
      <w:pPr>
        <w:pStyle w:val="Vahede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ettepanekute tegemine halduskoormuse vähendamiseks</w:t>
      </w:r>
    </w:p>
    <w:p w:rsidR="00526E03" w:rsidRDefault="00526E03" w:rsidP="00BC21C4">
      <w:pPr>
        <w:pStyle w:val="Vahede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halduskoormuse vähendamise osas ettepanekute esitamine</w:t>
      </w:r>
    </w:p>
    <w:p w:rsidR="00526E03" w:rsidRDefault="00526E03" w:rsidP="00526E03">
      <w:pPr>
        <w:pStyle w:val="Vahedeta"/>
        <w:spacing w:line="360" w:lineRule="auto"/>
        <w:jc w:val="both"/>
        <w:rPr>
          <w:rFonts w:ascii="Times New Roman" w:hAnsi="Times New Roman" w:cs="Times New Roman"/>
          <w:sz w:val="24"/>
          <w:szCs w:val="24"/>
        </w:rPr>
      </w:pPr>
    </w:p>
    <w:p w:rsidR="0074337D" w:rsidRDefault="00574368" w:rsidP="00BC21C4">
      <w:pPr>
        <w:pStyle w:val="Vahedeta"/>
        <w:spacing w:line="360" w:lineRule="auto"/>
        <w:jc w:val="both"/>
        <w:rPr>
          <w:rFonts w:ascii="Times New Roman" w:hAnsi="Times New Roman" w:cs="Times New Roman"/>
          <w:sz w:val="24"/>
          <w:szCs w:val="24"/>
        </w:rPr>
      </w:pPr>
      <w:r w:rsidRPr="00C05ACD">
        <w:rPr>
          <w:rFonts w:ascii="Times New Roman" w:hAnsi="Times New Roman" w:cs="Times New Roman"/>
          <w:sz w:val="24"/>
          <w:szCs w:val="24"/>
        </w:rPr>
        <w:t>Käesoleva valimi moodustamisel valiti välja esialgu kolm põhivaldkonda, milleks olid toidutööstus, elektroonikatööstus ning ehitusmaterjalitööstus. Igast valdkonnast valiti välja</w:t>
      </w:r>
      <w:r w:rsidR="008E21D1">
        <w:rPr>
          <w:rFonts w:ascii="Times New Roman" w:hAnsi="Times New Roman" w:cs="Times New Roman"/>
          <w:sz w:val="24"/>
          <w:szCs w:val="24"/>
        </w:rPr>
        <w:t xml:space="preserve"> </w:t>
      </w:r>
      <w:r w:rsidR="008E21D1">
        <w:rPr>
          <w:rFonts w:ascii="Times New Roman" w:hAnsi="Times New Roman" w:cs="Times New Roman"/>
          <w:sz w:val="24"/>
          <w:szCs w:val="24"/>
        </w:rPr>
        <w:lastRenderedPageBreak/>
        <w:t xml:space="preserve">vähemalt </w:t>
      </w:r>
      <w:r w:rsidRPr="00C05ACD">
        <w:rPr>
          <w:rFonts w:ascii="Times New Roman" w:hAnsi="Times New Roman" w:cs="Times New Roman"/>
          <w:sz w:val="24"/>
          <w:szCs w:val="24"/>
        </w:rPr>
        <w:t>10 erinevat ettevõtet vastavalt müügikäibe, kasu</w:t>
      </w:r>
      <w:r w:rsidR="002B6DEE">
        <w:rPr>
          <w:rFonts w:ascii="Times New Roman" w:hAnsi="Times New Roman" w:cs="Times New Roman"/>
          <w:sz w:val="24"/>
          <w:szCs w:val="24"/>
        </w:rPr>
        <w:t>mi ning ettevõtte suurusele</w:t>
      </w:r>
      <w:r w:rsidRPr="00C05ACD">
        <w:rPr>
          <w:rFonts w:ascii="Times New Roman" w:hAnsi="Times New Roman" w:cs="Times New Roman"/>
          <w:sz w:val="24"/>
          <w:szCs w:val="24"/>
        </w:rPr>
        <w:t xml:space="preserve">. Iga ettevõttega võeti eraldi kontakti nii telefoni teel kui ka meili teel. </w:t>
      </w:r>
    </w:p>
    <w:p w:rsidR="0073111C" w:rsidRDefault="0073111C" w:rsidP="0073111C">
      <w:pPr>
        <w:pStyle w:val="Vahedeta"/>
        <w:spacing w:line="360" w:lineRule="auto"/>
        <w:jc w:val="both"/>
        <w:rPr>
          <w:rFonts w:ascii="Times New Roman" w:hAnsi="Times New Roman" w:cs="Times New Roman"/>
          <w:sz w:val="24"/>
          <w:szCs w:val="24"/>
        </w:rPr>
      </w:pPr>
    </w:p>
    <w:p w:rsidR="00C50B4B" w:rsidRDefault="0074337D" w:rsidP="0073111C">
      <w:pPr>
        <w:pStyle w:val="Vahede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Esialgsesse valimisse olid kaasatud järgmised </w:t>
      </w:r>
      <w:proofErr w:type="spellStart"/>
      <w:r w:rsidR="009D2109">
        <w:rPr>
          <w:rFonts w:ascii="Times New Roman" w:hAnsi="Times New Roman" w:cs="Times New Roman"/>
          <w:sz w:val="24"/>
          <w:szCs w:val="24"/>
        </w:rPr>
        <w:t>toidutööstusettvõtted</w:t>
      </w:r>
      <w:proofErr w:type="spellEnd"/>
      <w:r w:rsidR="009D2109">
        <w:rPr>
          <w:rFonts w:ascii="Times New Roman" w:hAnsi="Times New Roman" w:cs="Times New Roman"/>
          <w:sz w:val="24"/>
          <w:szCs w:val="24"/>
        </w:rPr>
        <w:t xml:space="preserve">: </w:t>
      </w:r>
      <w:proofErr w:type="spellStart"/>
      <w:r w:rsidR="00574368" w:rsidRPr="00C05ACD">
        <w:rPr>
          <w:rFonts w:ascii="Times New Roman" w:hAnsi="Times New Roman" w:cs="Times New Roman"/>
          <w:bCs/>
          <w:sz w:val="24"/>
          <w:szCs w:val="24"/>
        </w:rPr>
        <w:t>United</w:t>
      </w:r>
      <w:proofErr w:type="spellEnd"/>
      <w:r w:rsidR="00574368" w:rsidRPr="00C05ACD">
        <w:rPr>
          <w:rFonts w:ascii="Times New Roman" w:hAnsi="Times New Roman" w:cs="Times New Roman"/>
          <w:bCs/>
          <w:sz w:val="24"/>
          <w:szCs w:val="24"/>
        </w:rPr>
        <w:t xml:space="preserve"> </w:t>
      </w:r>
      <w:proofErr w:type="spellStart"/>
      <w:r w:rsidR="00574368" w:rsidRPr="00C05ACD">
        <w:rPr>
          <w:rFonts w:ascii="Times New Roman" w:hAnsi="Times New Roman" w:cs="Times New Roman"/>
          <w:bCs/>
          <w:sz w:val="24"/>
          <w:szCs w:val="24"/>
        </w:rPr>
        <w:t>Estover</w:t>
      </w:r>
      <w:proofErr w:type="spellEnd"/>
      <w:r w:rsidR="00574368" w:rsidRPr="00C05ACD">
        <w:rPr>
          <w:rFonts w:ascii="Times New Roman" w:hAnsi="Times New Roman" w:cs="Times New Roman"/>
          <w:bCs/>
          <w:sz w:val="24"/>
          <w:szCs w:val="24"/>
        </w:rPr>
        <w:t xml:space="preserve"> Group OÜ, </w:t>
      </w:r>
      <w:proofErr w:type="spellStart"/>
      <w:r w:rsidR="00574368" w:rsidRPr="00C05ACD">
        <w:rPr>
          <w:rFonts w:ascii="Times New Roman" w:hAnsi="Times New Roman" w:cs="Times New Roman"/>
          <w:bCs/>
          <w:sz w:val="24"/>
          <w:szCs w:val="24"/>
        </w:rPr>
        <w:t>Orkla</w:t>
      </w:r>
      <w:proofErr w:type="spellEnd"/>
      <w:r w:rsidR="00574368" w:rsidRPr="00C05ACD">
        <w:rPr>
          <w:rFonts w:ascii="Times New Roman" w:hAnsi="Times New Roman" w:cs="Times New Roman"/>
          <w:bCs/>
          <w:sz w:val="24"/>
          <w:szCs w:val="24"/>
        </w:rPr>
        <w:t xml:space="preserve"> Eesti AS, Santa Maria AS, Kulinaaria OÜ, </w:t>
      </w:r>
      <w:proofErr w:type="spellStart"/>
      <w:r w:rsidR="00574368" w:rsidRPr="00C05ACD">
        <w:rPr>
          <w:rFonts w:ascii="Times New Roman" w:hAnsi="Times New Roman" w:cs="Times New Roman"/>
          <w:bCs/>
          <w:sz w:val="24"/>
          <w:szCs w:val="24"/>
        </w:rPr>
        <w:t>Atria</w:t>
      </w:r>
      <w:proofErr w:type="spellEnd"/>
      <w:r w:rsidR="00574368" w:rsidRPr="00C05ACD">
        <w:rPr>
          <w:rFonts w:ascii="Times New Roman" w:hAnsi="Times New Roman" w:cs="Times New Roman"/>
          <w:bCs/>
          <w:sz w:val="24"/>
          <w:szCs w:val="24"/>
        </w:rPr>
        <w:t xml:space="preserve"> Eesti AS, Tartu </w:t>
      </w:r>
      <w:proofErr w:type="spellStart"/>
      <w:r w:rsidR="00574368" w:rsidRPr="00C05ACD">
        <w:rPr>
          <w:rFonts w:ascii="Times New Roman" w:hAnsi="Times New Roman" w:cs="Times New Roman"/>
          <w:bCs/>
          <w:sz w:val="24"/>
          <w:szCs w:val="24"/>
        </w:rPr>
        <w:t>Mill</w:t>
      </w:r>
      <w:proofErr w:type="spellEnd"/>
      <w:r w:rsidR="00574368" w:rsidRPr="00C05ACD">
        <w:rPr>
          <w:rFonts w:ascii="Times New Roman" w:hAnsi="Times New Roman" w:cs="Times New Roman"/>
          <w:bCs/>
          <w:sz w:val="24"/>
          <w:szCs w:val="24"/>
        </w:rPr>
        <w:t xml:space="preserve"> AS, Salutaguse Pärmitehas AS, Balbiino AS, </w:t>
      </w:r>
      <w:proofErr w:type="spellStart"/>
      <w:r w:rsidR="00574368" w:rsidRPr="00C05ACD">
        <w:rPr>
          <w:rFonts w:ascii="Times New Roman" w:hAnsi="Times New Roman" w:cs="Times New Roman"/>
          <w:bCs/>
          <w:sz w:val="24"/>
          <w:szCs w:val="24"/>
        </w:rPr>
        <w:t>HKScan</w:t>
      </w:r>
      <w:proofErr w:type="spellEnd"/>
      <w:r w:rsidR="00574368" w:rsidRPr="00C05ACD">
        <w:rPr>
          <w:rFonts w:ascii="Times New Roman" w:hAnsi="Times New Roman" w:cs="Times New Roman"/>
          <w:bCs/>
          <w:sz w:val="24"/>
          <w:szCs w:val="24"/>
        </w:rPr>
        <w:t xml:space="preserve"> Estonia AS, </w:t>
      </w:r>
      <w:proofErr w:type="spellStart"/>
      <w:r w:rsidR="00574368" w:rsidRPr="00C05ACD">
        <w:rPr>
          <w:rFonts w:ascii="Times New Roman" w:hAnsi="Times New Roman" w:cs="Times New Roman"/>
          <w:bCs/>
          <w:sz w:val="24"/>
          <w:szCs w:val="24"/>
        </w:rPr>
        <w:t>Valio</w:t>
      </w:r>
      <w:proofErr w:type="spellEnd"/>
      <w:r w:rsidR="00574368" w:rsidRPr="00C05ACD">
        <w:rPr>
          <w:rFonts w:ascii="Times New Roman" w:hAnsi="Times New Roman" w:cs="Times New Roman"/>
          <w:bCs/>
          <w:sz w:val="24"/>
          <w:szCs w:val="24"/>
        </w:rPr>
        <w:t xml:space="preserve"> Eesti AS, Kulinaaria OÜ. Kuid lõppvalimi moodustasid antud sektorist ainult Balbiino AS,  </w:t>
      </w:r>
      <w:proofErr w:type="spellStart"/>
      <w:r w:rsidR="00574368" w:rsidRPr="00C05ACD">
        <w:rPr>
          <w:rFonts w:ascii="Times New Roman" w:hAnsi="Times New Roman" w:cs="Times New Roman"/>
          <w:bCs/>
          <w:sz w:val="24"/>
          <w:szCs w:val="24"/>
        </w:rPr>
        <w:t>Valio</w:t>
      </w:r>
      <w:proofErr w:type="spellEnd"/>
      <w:r w:rsidR="00574368" w:rsidRPr="00C05ACD">
        <w:rPr>
          <w:rFonts w:ascii="Times New Roman" w:hAnsi="Times New Roman" w:cs="Times New Roman"/>
          <w:bCs/>
          <w:sz w:val="24"/>
          <w:szCs w:val="24"/>
        </w:rPr>
        <w:t xml:space="preserve"> Eesti AS ning Santa Maria AS. Teised ettevõtted ei olnud nõus enda ajalist ressurssi kulutama ning enamik ettevõtte</w:t>
      </w:r>
      <w:r w:rsidR="006E57FB">
        <w:rPr>
          <w:rFonts w:ascii="Times New Roman" w:hAnsi="Times New Roman" w:cs="Times New Roman"/>
          <w:bCs/>
          <w:sz w:val="24"/>
          <w:szCs w:val="24"/>
        </w:rPr>
        <w:t>i</w:t>
      </w:r>
      <w:r w:rsidR="00574368" w:rsidRPr="00C05ACD">
        <w:rPr>
          <w:rFonts w:ascii="Times New Roman" w:hAnsi="Times New Roman" w:cs="Times New Roman"/>
          <w:bCs/>
          <w:sz w:val="24"/>
          <w:szCs w:val="24"/>
        </w:rPr>
        <w:t>d, kellega võeti nii tele</w:t>
      </w:r>
      <w:r w:rsidR="006E57FB">
        <w:rPr>
          <w:rFonts w:ascii="Times New Roman" w:hAnsi="Times New Roman" w:cs="Times New Roman"/>
          <w:bCs/>
          <w:sz w:val="24"/>
          <w:szCs w:val="24"/>
        </w:rPr>
        <w:t xml:space="preserve">foni kui ka meili teel ühendust, </w:t>
      </w:r>
      <w:r w:rsidR="00574368" w:rsidRPr="00C05ACD">
        <w:rPr>
          <w:rFonts w:ascii="Times New Roman" w:hAnsi="Times New Roman" w:cs="Times New Roman"/>
          <w:bCs/>
          <w:sz w:val="24"/>
          <w:szCs w:val="24"/>
        </w:rPr>
        <w:t xml:space="preserve">paraku üleskutsele vastu ei reageerinud. Ehitustööstusettevõtetest oli esialgsesse valimisse kaasatud </w:t>
      </w:r>
      <w:r w:rsidR="00574368" w:rsidRPr="00694A6A">
        <w:rPr>
          <w:rFonts w:ascii="Times New Roman" w:hAnsi="Times New Roman" w:cs="Times New Roman"/>
          <w:sz w:val="24"/>
          <w:szCs w:val="24"/>
        </w:rPr>
        <w:t>TMB</w:t>
      </w:r>
      <w:r w:rsidR="009D2109">
        <w:rPr>
          <w:rFonts w:ascii="Times New Roman" w:hAnsi="Times New Roman" w:cs="Times New Roman"/>
          <w:sz w:val="24"/>
          <w:szCs w:val="24"/>
        </w:rPr>
        <w:t xml:space="preserve"> Element AS</w:t>
      </w:r>
      <w:r w:rsidR="00574368" w:rsidRPr="00C05ACD">
        <w:rPr>
          <w:rFonts w:ascii="Times New Roman" w:hAnsi="Times New Roman" w:cs="Times New Roman"/>
          <w:sz w:val="24"/>
          <w:szCs w:val="24"/>
        </w:rPr>
        <w:t xml:space="preserve">, </w:t>
      </w:r>
      <w:r w:rsidR="0070011E">
        <w:rPr>
          <w:rFonts w:ascii="Times New Roman" w:hAnsi="Times New Roman" w:cs="Times New Roman"/>
          <w:sz w:val="24"/>
          <w:szCs w:val="24"/>
        </w:rPr>
        <w:t xml:space="preserve">Kunda </w:t>
      </w:r>
      <w:proofErr w:type="spellStart"/>
      <w:r w:rsidR="0070011E">
        <w:rPr>
          <w:rFonts w:ascii="Times New Roman" w:hAnsi="Times New Roman" w:cs="Times New Roman"/>
          <w:sz w:val="24"/>
          <w:szCs w:val="24"/>
        </w:rPr>
        <w:t>Nordic</w:t>
      </w:r>
      <w:proofErr w:type="spellEnd"/>
      <w:r w:rsidR="0070011E">
        <w:rPr>
          <w:rFonts w:ascii="Times New Roman" w:hAnsi="Times New Roman" w:cs="Times New Roman"/>
          <w:sz w:val="24"/>
          <w:szCs w:val="24"/>
        </w:rPr>
        <w:t xml:space="preserve"> Tsement AS, </w:t>
      </w:r>
      <w:proofErr w:type="spellStart"/>
      <w:r w:rsidR="00574368">
        <w:rPr>
          <w:rFonts w:ascii="Times New Roman" w:hAnsi="Times New Roman" w:cs="Times New Roman"/>
          <w:sz w:val="24"/>
          <w:szCs w:val="24"/>
        </w:rPr>
        <w:t>Profetsement</w:t>
      </w:r>
      <w:proofErr w:type="spellEnd"/>
      <w:r w:rsidR="00574368">
        <w:rPr>
          <w:rFonts w:ascii="Times New Roman" w:hAnsi="Times New Roman" w:cs="Times New Roman"/>
          <w:sz w:val="24"/>
          <w:szCs w:val="24"/>
        </w:rPr>
        <w:t xml:space="preserve"> OÜ, </w:t>
      </w:r>
      <w:proofErr w:type="spellStart"/>
      <w:r w:rsidR="00574368" w:rsidRPr="00C05ACD">
        <w:rPr>
          <w:rFonts w:ascii="Times New Roman" w:hAnsi="Times New Roman" w:cs="Times New Roman"/>
          <w:sz w:val="24"/>
          <w:szCs w:val="24"/>
        </w:rPr>
        <w:t>Haka</w:t>
      </w:r>
      <w:proofErr w:type="spellEnd"/>
      <w:r w:rsidR="00574368" w:rsidRPr="00C05ACD">
        <w:rPr>
          <w:rFonts w:ascii="Times New Roman" w:hAnsi="Times New Roman" w:cs="Times New Roman"/>
          <w:sz w:val="24"/>
          <w:szCs w:val="24"/>
        </w:rPr>
        <w:t xml:space="preserve"> Plast OÜ, </w:t>
      </w:r>
      <w:proofErr w:type="spellStart"/>
      <w:r w:rsidR="00574368">
        <w:rPr>
          <w:rFonts w:ascii="Times New Roman" w:hAnsi="Times New Roman" w:cs="Times New Roman"/>
          <w:sz w:val="24"/>
          <w:szCs w:val="24"/>
        </w:rPr>
        <w:t>Stako</w:t>
      </w:r>
      <w:proofErr w:type="spellEnd"/>
      <w:r w:rsidR="00574368">
        <w:rPr>
          <w:rFonts w:ascii="Times New Roman" w:hAnsi="Times New Roman" w:cs="Times New Roman"/>
          <w:sz w:val="24"/>
          <w:szCs w:val="24"/>
        </w:rPr>
        <w:t xml:space="preserve"> </w:t>
      </w:r>
      <w:proofErr w:type="spellStart"/>
      <w:r w:rsidR="00574368">
        <w:rPr>
          <w:rFonts w:ascii="Times New Roman" w:hAnsi="Times New Roman" w:cs="Times New Roman"/>
          <w:sz w:val="24"/>
          <w:szCs w:val="24"/>
        </w:rPr>
        <w:t>Diler</w:t>
      </w:r>
      <w:proofErr w:type="spellEnd"/>
      <w:r w:rsidR="00574368">
        <w:rPr>
          <w:rFonts w:ascii="Times New Roman" w:hAnsi="Times New Roman" w:cs="Times New Roman"/>
          <w:sz w:val="24"/>
          <w:szCs w:val="24"/>
        </w:rPr>
        <w:t xml:space="preserve"> OÜ, Peetri Puit OÜ, </w:t>
      </w:r>
      <w:proofErr w:type="spellStart"/>
      <w:r w:rsidR="00574368">
        <w:rPr>
          <w:rFonts w:ascii="Times New Roman" w:hAnsi="Times New Roman" w:cs="Times New Roman"/>
          <w:sz w:val="24"/>
          <w:szCs w:val="24"/>
        </w:rPr>
        <w:t>Avila</w:t>
      </w:r>
      <w:proofErr w:type="spellEnd"/>
      <w:r w:rsidR="00574368">
        <w:rPr>
          <w:rFonts w:ascii="Times New Roman" w:hAnsi="Times New Roman" w:cs="Times New Roman"/>
          <w:sz w:val="24"/>
          <w:szCs w:val="24"/>
        </w:rPr>
        <w:t xml:space="preserve"> Puit </w:t>
      </w:r>
      <w:r w:rsidR="00574368" w:rsidRPr="00C05ACD">
        <w:rPr>
          <w:rFonts w:ascii="Times New Roman" w:hAnsi="Times New Roman" w:cs="Times New Roman"/>
          <w:caps/>
          <w:sz w:val="24"/>
          <w:szCs w:val="24"/>
        </w:rPr>
        <w:t>OÜ</w:t>
      </w:r>
      <w:r w:rsidR="00574368">
        <w:rPr>
          <w:rFonts w:ascii="Times New Roman" w:hAnsi="Times New Roman" w:cs="Times New Roman"/>
          <w:caps/>
          <w:sz w:val="24"/>
          <w:szCs w:val="24"/>
        </w:rPr>
        <w:t>,</w:t>
      </w:r>
      <w:r w:rsidR="00765E3C" w:rsidRPr="00765E3C">
        <w:rPr>
          <w:rFonts w:ascii="Times New Roman" w:hAnsi="Times New Roman" w:cs="Times New Roman"/>
          <w:sz w:val="24"/>
          <w:szCs w:val="24"/>
        </w:rPr>
        <w:t xml:space="preserve"> </w:t>
      </w:r>
      <w:r w:rsidR="00765E3C">
        <w:rPr>
          <w:rFonts w:ascii="Times New Roman" w:hAnsi="Times New Roman" w:cs="Times New Roman"/>
          <w:sz w:val="24"/>
          <w:szCs w:val="24"/>
        </w:rPr>
        <w:t>Eesti Höövelliist OÜ,</w:t>
      </w:r>
      <w:r w:rsidR="00E01F67">
        <w:rPr>
          <w:rFonts w:ascii="Times New Roman" w:hAnsi="Times New Roman" w:cs="Times New Roman"/>
          <w:sz w:val="24"/>
          <w:szCs w:val="24"/>
        </w:rPr>
        <w:t xml:space="preserve"> </w:t>
      </w:r>
      <w:proofErr w:type="spellStart"/>
      <w:r w:rsidR="00765E3C">
        <w:rPr>
          <w:rFonts w:ascii="Times New Roman" w:hAnsi="Times New Roman" w:cs="Times New Roman"/>
          <w:sz w:val="24"/>
          <w:szCs w:val="24"/>
        </w:rPr>
        <w:t>Nordecon</w:t>
      </w:r>
      <w:proofErr w:type="spellEnd"/>
      <w:r w:rsidR="00765E3C">
        <w:rPr>
          <w:rFonts w:ascii="Times New Roman" w:hAnsi="Times New Roman" w:cs="Times New Roman"/>
          <w:sz w:val="24"/>
          <w:szCs w:val="24"/>
        </w:rPr>
        <w:t xml:space="preserve"> AS, </w:t>
      </w:r>
      <w:proofErr w:type="spellStart"/>
      <w:r w:rsidR="00765E3C">
        <w:rPr>
          <w:rFonts w:ascii="Times New Roman" w:hAnsi="Times New Roman" w:cs="Times New Roman"/>
          <w:sz w:val="24"/>
          <w:szCs w:val="24"/>
        </w:rPr>
        <w:t>Floorin</w:t>
      </w:r>
      <w:proofErr w:type="spellEnd"/>
      <w:r w:rsidR="00765E3C">
        <w:rPr>
          <w:rFonts w:ascii="Times New Roman" w:hAnsi="Times New Roman" w:cs="Times New Roman"/>
          <w:sz w:val="24"/>
          <w:szCs w:val="24"/>
        </w:rPr>
        <w:t xml:space="preserve"> AS ning Ruut Ehituse OÜ.</w:t>
      </w:r>
    </w:p>
    <w:p w:rsidR="0073111C" w:rsidRDefault="0073111C" w:rsidP="0073111C">
      <w:pPr>
        <w:pStyle w:val="Vahedeta"/>
        <w:spacing w:line="360" w:lineRule="auto"/>
        <w:jc w:val="both"/>
        <w:rPr>
          <w:rFonts w:ascii="Times New Roman" w:hAnsi="Times New Roman" w:cs="Times New Roman"/>
          <w:sz w:val="24"/>
          <w:szCs w:val="24"/>
        </w:rPr>
      </w:pPr>
    </w:p>
    <w:p w:rsidR="00AF3135" w:rsidRDefault="00C50B4B" w:rsidP="0073111C">
      <w:pPr>
        <w:pStyle w:val="Vahedeta"/>
        <w:spacing w:line="360" w:lineRule="auto"/>
        <w:jc w:val="both"/>
        <w:rPr>
          <w:rFonts w:ascii="Times New Roman" w:hAnsi="Times New Roman" w:cs="Times New Roman"/>
          <w:sz w:val="24"/>
          <w:szCs w:val="24"/>
        </w:rPr>
      </w:pPr>
      <w:r w:rsidRPr="00C05ACD">
        <w:rPr>
          <w:rFonts w:ascii="Times New Roman" w:hAnsi="Times New Roman" w:cs="Times New Roman"/>
          <w:sz w:val="24"/>
          <w:szCs w:val="24"/>
        </w:rPr>
        <w:t xml:space="preserve">Vastavalt ettevõtete </w:t>
      </w:r>
      <w:proofErr w:type="spellStart"/>
      <w:r w:rsidRPr="00C05ACD">
        <w:rPr>
          <w:rFonts w:ascii="Times New Roman" w:hAnsi="Times New Roman" w:cs="Times New Roman"/>
          <w:sz w:val="24"/>
          <w:szCs w:val="24"/>
        </w:rPr>
        <w:t>endapoolsele</w:t>
      </w:r>
      <w:proofErr w:type="spellEnd"/>
      <w:r w:rsidRPr="00C05ACD">
        <w:rPr>
          <w:rFonts w:ascii="Times New Roman" w:hAnsi="Times New Roman" w:cs="Times New Roman"/>
          <w:sz w:val="24"/>
          <w:szCs w:val="24"/>
        </w:rPr>
        <w:t xml:space="preserve"> huvile ning võimalikule ajalisele ressursile moodustusid lõppvalimisse järgmised ettevõtted: Balbiino AS, </w:t>
      </w:r>
      <w:proofErr w:type="spellStart"/>
      <w:r w:rsidRPr="00C05ACD">
        <w:rPr>
          <w:rFonts w:ascii="Times New Roman" w:hAnsi="Times New Roman" w:cs="Times New Roman"/>
          <w:sz w:val="24"/>
          <w:szCs w:val="24"/>
        </w:rPr>
        <w:t>Valio</w:t>
      </w:r>
      <w:proofErr w:type="spellEnd"/>
      <w:r w:rsidRPr="00C05ACD">
        <w:rPr>
          <w:rFonts w:ascii="Times New Roman" w:hAnsi="Times New Roman" w:cs="Times New Roman"/>
          <w:sz w:val="24"/>
          <w:szCs w:val="24"/>
        </w:rPr>
        <w:t xml:space="preserve"> Eesti AS, Kunda </w:t>
      </w:r>
      <w:proofErr w:type="spellStart"/>
      <w:r w:rsidRPr="00C05ACD">
        <w:rPr>
          <w:rFonts w:ascii="Times New Roman" w:hAnsi="Times New Roman" w:cs="Times New Roman"/>
          <w:sz w:val="24"/>
          <w:szCs w:val="24"/>
        </w:rPr>
        <w:t>Nordic</w:t>
      </w:r>
      <w:proofErr w:type="spellEnd"/>
      <w:r w:rsidRPr="00C05ACD">
        <w:rPr>
          <w:rFonts w:ascii="Times New Roman" w:hAnsi="Times New Roman" w:cs="Times New Roman"/>
          <w:sz w:val="24"/>
          <w:szCs w:val="24"/>
        </w:rPr>
        <w:t xml:space="preserve"> Tsement AS, Santa Maria AS ning Ruut Ehituse AS.</w:t>
      </w:r>
      <w:r w:rsidR="0088765E">
        <w:rPr>
          <w:rFonts w:ascii="Times New Roman" w:hAnsi="Times New Roman" w:cs="Times New Roman"/>
          <w:sz w:val="24"/>
          <w:szCs w:val="24"/>
        </w:rPr>
        <w:t xml:space="preserve"> Need e</w:t>
      </w:r>
      <w:r>
        <w:rPr>
          <w:rFonts w:ascii="Times New Roman" w:hAnsi="Times New Roman" w:cs="Times New Roman"/>
          <w:sz w:val="24"/>
          <w:szCs w:val="24"/>
        </w:rPr>
        <w:t>ttevõtted r</w:t>
      </w:r>
      <w:r w:rsidR="00E01F67">
        <w:rPr>
          <w:rFonts w:ascii="Times New Roman" w:hAnsi="Times New Roman" w:cs="Times New Roman"/>
          <w:sz w:val="24"/>
          <w:szCs w:val="24"/>
        </w:rPr>
        <w:t xml:space="preserve">eageerisid koheselt </w:t>
      </w:r>
      <w:r>
        <w:rPr>
          <w:rFonts w:ascii="Times New Roman" w:hAnsi="Times New Roman" w:cs="Times New Roman"/>
          <w:sz w:val="24"/>
          <w:szCs w:val="24"/>
        </w:rPr>
        <w:t xml:space="preserve">halduskoormuse mõõtmise </w:t>
      </w:r>
      <w:r w:rsidR="00E01F67">
        <w:rPr>
          <w:rFonts w:ascii="Times New Roman" w:hAnsi="Times New Roman" w:cs="Times New Roman"/>
          <w:sz w:val="24"/>
          <w:szCs w:val="24"/>
        </w:rPr>
        <w:t>üleskutsel</w:t>
      </w:r>
      <w:r w:rsidR="006E57FB">
        <w:rPr>
          <w:rFonts w:ascii="Times New Roman" w:hAnsi="Times New Roman" w:cs="Times New Roman"/>
          <w:sz w:val="24"/>
          <w:szCs w:val="24"/>
        </w:rPr>
        <w:t xml:space="preserve">e ning olid meeleldi nõus andma enda </w:t>
      </w:r>
      <w:r w:rsidR="00E01F67">
        <w:rPr>
          <w:rFonts w:ascii="Times New Roman" w:hAnsi="Times New Roman" w:cs="Times New Roman"/>
          <w:sz w:val="24"/>
          <w:szCs w:val="24"/>
        </w:rPr>
        <w:t xml:space="preserve">tagasisidet. Teistelt ettevõtetelt kahjuks tagasiside puudus ning mõned ettevõtted andsid märku, et kiire </w:t>
      </w:r>
      <w:r w:rsidR="006E57FB">
        <w:rPr>
          <w:rFonts w:ascii="Times New Roman" w:hAnsi="Times New Roman" w:cs="Times New Roman"/>
          <w:sz w:val="24"/>
          <w:szCs w:val="24"/>
        </w:rPr>
        <w:t>töö</w:t>
      </w:r>
      <w:r w:rsidR="00E01F67">
        <w:rPr>
          <w:rFonts w:ascii="Times New Roman" w:hAnsi="Times New Roman" w:cs="Times New Roman"/>
          <w:sz w:val="24"/>
          <w:szCs w:val="24"/>
        </w:rPr>
        <w:t xml:space="preserve">tempo tõttu ei ole võimalik lisakoormust juurde võtta. </w:t>
      </w:r>
    </w:p>
    <w:p w:rsidR="006C2704" w:rsidRDefault="006C2704" w:rsidP="0073111C">
      <w:pPr>
        <w:pStyle w:val="Pealkiri1"/>
      </w:pPr>
    </w:p>
    <w:p w:rsidR="006C2704" w:rsidRDefault="00574368" w:rsidP="0073111C">
      <w:pPr>
        <w:pStyle w:val="Pealkiri1"/>
      </w:pPr>
      <w:r w:rsidRPr="00FC121C">
        <w:t>TULEMUSED</w:t>
      </w:r>
    </w:p>
    <w:p w:rsidR="0073111C" w:rsidRPr="0073111C" w:rsidRDefault="0073111C" w:rsidP="0073111C"/>
    <w:p w:rsidR="00FC121C" w:rsidRPr="006C2704" w:rsidRDefault="00FC121C" w:rsidP="0073111C">
      <w:pPr>
        <w:pStyle w:val="Pealkiri2"/>
      </w:pPr>
      <w:r w:rsidRPr="006C2704">
        <w:t>BALBIINO AS</w:t>
      </w:r>
    </w:p>
    <w:p w:rsidR="00FC121C" w:rsidRDefault="00581A19" w:rsidP="0073111C">
      <w:pPr>
        <w:spacing w:line="360" w:lineRule="auto"/>
        <w:jc w:val="both"/>
        <w:rPr>
          <w:rFonts w:ascii="Times New Roman" w:hAnsi="Times New Roman" w:cs="Times New Roman"/>
          <w:sz w:val="24"/>
          <w:szCs w:val="24"/>
        </w:rPr>
      </w:pPr>
      <w:r>
        <w:rPr>
          <w:rFonts w:ascii="Times New Roman" w:hAnsi="Times New Roman" w:cs="Times New Roman"/>
          <w:sz w:val="24"/>
          <w:szCs w:val="24"/>
        </w:rPr>
        <w:t>Balbiino AS on 100 % ainus Eesti kapitalil põhinev ettevõte, kes toodab erinevaid jäätiseid.</w:t>
      </w:r>
      <w:r w:rsidRPr="0042159D">
        <w:rPr>
          <w:rFonts w:ascii="Times New Roman" w:hAnsi="Times New Roman" w:cs="Times New Roman"/>
          <w:sz w:val="24"/>
          <w:szCs w:val="24"/>
        </w:rPr>
        <w:t xml:space="preserve"> </w:t>
      </w:r>
      <w:r w:rsidR="006017C2">
        <w:rPr>
          <w:rFonts w:ascii="Times New Roman" w:hAnsi="Times New Roman" w:cs="Times New Roman"/>
          <w:sz w:val="24"/>
          <w:szCs w:val="24"/>
        </w:rPr>
        <w:t>Ettevõtte p</w:t>
      </w:r>
      <w:r>
        <w:rPr>
          <w:rFonts w:ascii="Times New Roman" w:hAnsi="Times New Roman" w:cs="Times New Roman"/>
          <w:sz w:val="24"/>
          <w:szCs w:val="24"/>
        </w:rPr>
        <w:t xml:space="preserve">õhitegevsalaks on jäätisetoodete </w:t>
      </w:r>
      <w:r w:rsidR="006017C2">
        <w:rPr>
          <w:rFonts w:ascii="Times New Roman" w:hAnsi="Times New Roman" w:cs="Times New Roman"/>
          <w:sz w:val="24"/>
          <w:szCs w:val="24"/>
        </w:rPr>
        <w:t xml:space="preserve">müük, mis on aidanud ettevõttel saavutad Eesti logistikaäris juhtiva positsiooni. Ettevõtte müügitulu ja käive oli 2018. aasta seisuga </w:t>
      </w:r>
      <w:r>
        <w:rPr>
          <w:rFonts w:ascii="Times New Roman" w:hAnsi="Times New Roman" w:cs="Times New Roman"/>
          <w:sz w:val="24"/>
          <w:szCs w:val="24"/>
        </w:rPr>
        <w:t>28 710 448 eurot.</w:t>
      </w:r>
      <w:r w:rsidR="006017C2">
        <w:rPr>
          <w:rFonts w:ascii="Times New Roman" w:hAnsi="Times New Roman" w:cs="Times New Roman"/>
          <w:sz w:val="24"/>
          <w:szCs w:val="24"/>
        </w:rPr>
        <w:t xml:space="preserve"> </w:t>
      </w:r>
      <w:r>
        <w:rPr>
          <w:rFonts w:ascii="Times New Roman" w:hAnsi="Times New Roman" w:cs="Times New Roman"/>
          <w:sz w:val="24"/>
          <w:szCs w:val="24"/>
        </w:rPr>
        <w:t xml:space="preserve">Samuti on ettevõte Baltikumi ainus jäätisetootja, kes omab BRC toiduohutuse ja kvaliteedijuhtimise sertifikaati. Ettevõtte tegevuse kõige hiilgavam periood on suvi, kus tarbitakse jäätist kõige rohkem ning seetõttu sellel ajal on ka müük väga efektiivne. Balbiino AS </w:t>
      </w:r>
      <w:proofErr w:type="spellStart"/>
      <w:r>
        <w:rPr>
          <w:rFonts w:ascii="Times New Roman" w:hAnsi="Times New Roman" w:cs="Times New Roman"/>
          <w:sz w:val="24"/>
          <w:szCs w:val="24"/>
        </w:rPr>
        <w:t>kõrvaltegevusalaks</w:t>
      </w:r>
      <w:proofErr w:type="spellEnd"/>
      <w:r>
        <w:rPr>
          <w:rFonts w:ascii="Times New Roman" w:hAnsi="Times New Roman" w:cs="Times New Roman"/>
          <w:sz w:val="24"/>
          <w:szCs w:val="24"/>
        </w:rPr>
        <w:t xml:space="preserve"> on k</w:t>
      </w:r>
      <w:r w:rsidRPr="0079112F">
        <w:rPr>
          <w:rFonts w:ascii="Times New Roman" w:hAnsi="Times New Roman" w:cs="Times New Roman"/>
          <w:sz w:val="24"/>
          <w:szCs w:val="24"/>
        </w:rPr>
        <w:t>ülmutatud k</w:t>
      </w:r>
      <w:r>
        <w:rPr>
          <w:rFonts w:ascii="Times New Roman" w:hAnsi="Times New Roman" w:cs="Times New Roman"/>
          <w:sz w:val="24"/>
          <w:szCs w:val="24"/>
        </w:rPr>
        <w:t>aupade müük (</w:t>
      </w:r>
      <w:r w:rsidRPr="0079112F">
        <w:rPr>
          <w:rFonts w:ascii="Times New Roman" w:hAnsi="Times New Roman" w:cs="Times New Roman"/>
          <w:sz w:val="24"/>
          <w:szCs w:val="24"/>
        </w:rPr>
        <w:t>H</w:t>
      </w:r>
      <w:r>
        <w:rPr>
          <w:rFonts w:ascii="Times New Roman" w:hAnsi="Times New Roman" w:cs="Times New Roman"/>
          <w:sz w:val="24"/>
          <w:szCs w:val="24"/>
        </w:rPr>
        <w:t xml:space="preserve">ärmavili, Kullakesed kartulid) ning logisitikateenuste osutamine. Ettevõtte põhiaktsionäriks on 100% </w:t>
      </w:r>
      <w:proofErr w:type="spellStart"/>
      <w:r>
        <w:rPr>
          <w:rFonts w:ascii="Times New Roman" w:hAnsi="Times New Roman" w:cs="Times New Roman"/>
          <w:sz w:val="24"/>
          <w:szCs w:val="24"/>
        </w:rPr>
        <w:t>Selver</w:t>
      </w:r>
      <w:proofErr w:type="spellEnd"/>
      <w:r>
        <w:rPr>
          <w:rFonts w:ascii="Times New Roman" w:hAnsi="Times New Roman" w:cs="Times New Roman"/>
          <w:sz w:val="24"/>
          <w:szCs w:val="24"/>
        </w:rPr>
        <w:t xml:space="preserve">, Tallinna Kaubamaja, </w:t>
      </w:r>
      <w:proofErr w:type="spellStart"/>
      <w:r>
        <w:rPr>
          <w:rFonts w:ascii="Times New Roman" w:hAnsi="Times New Roman" w:cs="Times New Roman"/>
          <w:sz w:val="24"/>
          <w:szCs w:val="24"/>
        </w:rPr>
        <w:t>Kia</w:t>
      </w:r>
      <w:proofErr w:type="spellEnd"/>
      <w:r>
        <w:rPr>
          <w:rFonts w:ascii="Times New Roman" w:hAnsi="Times New Roman" w:cs="Times New Roman"/>
          <w:sz w:val="24"/>
          <w:szCs w:val="24"/>
        </w:rPr>
        <w:t xml:space="preserve"> autod, Liviko ning omanikfirmaks NG-investeeringud. Samuti võimaldab ettevõte tööd ligikaudu 235 inimesele.</w:t>
      </w:r>
      <w:r w:rsidR="00FC121C">
        <w:rPr>
          <w:rFonts w:ascii="Times New Roman" w:hAnsi="Times New Roman" w:cs="Times New Roman"/>
          <w:sz w:val="24"/>
          <w:szCs w:val="24"/>
        </w:rPr>
        <w:t xml:space="preserve"> </w:t>
      </w:r>
    </w:p>
    <w:p w:rsidR="00581A19" w:rsidRDefault="00581A19" w:rsidP="0073111C">
      <w:pPr>
        <w:spacing w:line="360" w:lineRule="auto"/>
        <w:jc w:val="both"/>
        <w:rPr>
          <w:rFonts w:ascii="Times New Roman" w:hAnsi="Times New Roman" w:cs="Times New Roman"/>
          <w:sz w:val="24"/>
          <w:szCs w:val="24"/>
        </w:rPr>
      </w:pPr>
      <w:r>
        <w:rPr>
          <w:rFonts w:ascii="Times New Roman" w:hAnsi="Times New Roman" w:cs="Times New Roman"/>
          <w:sz w:val="24"/>
          <w:szCs w:val="24"/>
        </w:rPr>
        <w:t>Ettevõtte puhul on väg</w:t>
      </w:r>
      <w:r w:rsidR="009340A8">
        <w:rPr>
          <w:rFonts w:ascii="Times New Roman" w:hAnsi="Times New Roman" w:cs="Times New Roman"/>
          <w:sz w:val="24"/>
          <w:szCs w:val="24"/>
        </w:rPr>
        <w:t>a olulisel kohal eksport ning 2018. aasta seisuga moodustas eksport 4 430 457 eurot. E</w:t>
      </w:r>
      <w:r>
        <w:rPr>
          <w:rFonts w:ascii="Times New Roman" w:hAnsi="Times New Roman" w:cs="Times New Roman"/>
          <w:sz w:val="24"/>
          <w:szCs w:val="24"/>
        </w:rPr>
        <w:t xml:space="preserve">ksportimine toimub kümnesse Euroopasse riiki (Soome, Läti, Leedu, Rootsi, Taani, </w:t>
      </w:r>
      <w:proofErr w:type="spellStart"/>
      <w:r>
        <w:rPr>
          <w:rFonts w:ascii="Times New Roman" w:hAnsi="Times New Roman" w:cs="Times New Roman"/>
          <w:sz w:val="24"/>
          <w:szCs w:val="24"/>
        </w:rPr>
        <w:t>Iiirimaa</w:t>
      </w:r>
      <w:proofErr w:type="spellEnd"/>
      <w:r>
        <w:rPr>
          <w:rFonts w:ascii="Times New Roman" w:hAnsi="Times New Roman" w:cs="Times New Roman"/>
          <w:sz w:val="24"/>
          <w:szCs w:val="24"/>
        </w:rPr>
        <w:t xml:space="preserve"> jt). Kuid kõige edukam on ettevõtte eksport seoses müügikäibega olnud Lätti ning ettevõtte omaniku sõnul valmistab hetkel ohtu üksnes maksudega kehtestavad kriteeriumid. Eksport moodustab Balbiino ettevõttes omatoodangu müügikäibest 26 protsenti. </w:t>
      </w:r>
    </w:p>
    <w:p w:rsidR="008A2A5E" w:rsidRDefault="00581A19" w:rsidP="00581A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Halduskoormuse seisukohalt moodustab 2018. avalike teenuste lõikes ettevõtte ajaline koormus riigiga suhtlemisel ligikaudu 250 h aastas nelja inimese kohta. </w:t>
      </w:r>
      <w:r w:rsidR="00381089">
        <w:rPr>
          <w:rFonts w:ascii="Times New Roman" w:hAnsi="Times New Roman" w:cs="Times New Roman"/>
          <w:sz w:val="24"/>
          <w:szCs w:val="24"/>
        </w:rPr>
        <w:t xml:space="preserve">Halduskoormuse mõõtmisest selgus, et </w:t>
      </w:r>
      <w:r w:rsidR="008A2A5E">
        <w:rPr>
          <w:rFonts w:ascii="Times New Roman" w:hAnsi="Times New Roman" w:cs="Times New Roman"/>
          <w:sz w:val="24"/>
          <w:szCs w:val="24"/>
        </w:rPr>
        <w:t>kõige suurema ajakulu moodustavad ettevõttes Äriregister (ligikaudu</w:t>
      </w:r>
      <w:r w:rsidR="00381089">
        <w:rPr>
          <w:rFonts w:ascii="Times New Roman" w:hAnsi="Times New Roman" w:cs="Times New Roman"/>
          <w:sz w:val="24"/>
          <w:szCs w:val="24"/>
        </w:rPr>
        <w:t xml:space="preserve"> 80</w:t>
      </w:r>
      <w:r w:rsidR="008A2A5E">
        <w:rPr>
          <w:rFonts w:ascii="Times New Roman" w:hAnsi="Times New Roman" w:cs="Times New Roman"/>
          <w:sz w:val="24"/>
          <w:szCs w:val="24"/>
        </w:rPr>
        <w:t xml:space="preserve">h aastas), Maksu- ja </w:t>
      </w:r>
      <w:r w:rsidR="00370415">
        <w:rPr>
          <w:rFonts w:ascii="Times New Roman" w:hAnsi="Times New Roman" w:cs="Times New Roman"/>
          <w:sz w:val="24"/>
          <w:szCs w:val="24"/>
        </w:rPr>
        <w:t>Tolliamet ning Statistikaamet (</w:t>
      </w:r>
      <w:r w:rsidR="005A298A">
        <w:rPr>
          <w:rFonts w:ascii="Times New Roman" w:hAnsi="Times New Roman" w:cs="Times New Roman"/>
          <w:sz w:val="24"/>
          <w:szCs w:val="24"/>
        </w:rPr>
        <w:t>vt joonis</w:t>
      </w:r>
      <w:r w:rsidR="004B784B">
        <w:rPr>
          <w:rFonts w:ascii="Times New Roman" w:hAnsi="Times New Roman" w:cs="Times New Roman"/>
          <w:sz w:val="24"/>
          <w:szCs w:val="24"/>
        </w:rPr>
        <w:t xml:space="preserve"> </w:t>
      </w:r>
      <w:r w:rsidR="00370415">
        <w:rPr>
          <w:rFonts w:ascii="Times New Roman" w:hAnsi="Times New Roman" w:cs="Times New Roman"/>
          <w:sz w:val="24"/>
          <w:szCs w:val="24"/>
        </w:rPr>
        <w:t>1)</w:t>
      </w:r>
      <w:r w:rsidR="008A2A5E">
        <w:rPr>
          <w:rFonts w:ascii="Times New Roman" w:hAnsi="Times New Roman" w:cs="Times New Roman"/>
          <w:sz w:val="24"/>
          <w:szCs w:val="24"/>
        </w:rPr>
        <w:t>.</w:t>
      </w:r>
      <w:r w:rsidR="008A2A5E" w:rsidRPr="008A2A5E">
        <w:rPr>
          <w:rFonts w:ascii="Times New Roman" w:hAnsi="Times New Roman" w:cs="Times New Roman"/>
          <w:sz w:val="24"/>
          <w:szCs w:val="24"/>
        </w:rPr>
        <w:t xml:space="preserve"> </w:t>
      </w:r>
      <w:r w:rsidR="008A2A5E">
        <w:rPr>
          <w:rFonts w:ascii="Times New Roman" w:hAnsi="Times New Roman" w:cs="Times New Roman"/>
          <w:sz w:val="24"/>
          <w:szCs w:val="24"/>
        </w:rPr>
        <w:t>Ettevõttele valmistab kõige suuremat probleemi eelkõige Statistikaametiga koostöö ning nende aruannetega tegelemine. Ehk siis ettevõtte esindaja sõnul ei  ole Statistikaameti aruanded aktsepteeritavas vormis, sest väga keeruline on mõista sisulist sõnastust ning saada täpselt aru, mida ettevõttelt  konkreetselt oodatakse (jäätme- ja saastekäsitluse dokumendid).</w:t>
      </w:r>
      <w:r w:rsidR="00C446D9">
        <w:rPr>
          <w:rFonts w:ascii="Times New Roman" w:hAnsi="Times New Roman" w:cs="Times New Roman"/>
          <w:sz w:val="24"/>
          <w:szCs w:val="24"/>
        </w:rPr>
        <w:t xml:space="preserve"> Samuti on ettevõte andnud kõige madalama</w:t>
      </w:r>
      <w:r w:rsidR="00582C95">
        <w:rPr>
          <w:rFonts w:ascii="Times New Roman" w:hAnsi="Times New Roman" w:cs="Times New Roman"/>
          <w:sz w:val="24"/>
          <w:szCs w:val="24"/>
        </w:rPr>
        <w:t>d hinnangud nii K</w:t>
      </w:r>
      <w:r w:rsidR="00C446D9">
        <w:rPr>
          <w:rFonts w:ascii="Times New Roman" w:hAnsi="Times New Roman" w:cs="Times New Roman"/>
          <w:sz w:val="24"/>
          <w:szCs w:val="24"/>
        </w:rPr>
        <w:t>eskkonnatee</w:t>
      </w:r>
      <w:r w:rsidR="009F7217">
        <w:rPr>
          <w:rFonts w:ascii="Times New Roman" w:hAnsi="Times New Roman" w:cs="Times New Roman"/>
          <w:sz w:val="24"/>
          <w:szCs w:val="24"/>
        </w:rPr>
        <w:t xml:space="preserve">nustele, </w:t>
      </w:r>
      <w:r w:rsidR="00582C95">
        <w:rPr>
          <w:rFonts w:ascii="Times New Roman" w:hAnsi="Times New Roman" w:cs="Times New Roman"/>
          <w:sz w:val="24"/>
          <w:szCs w:val="24"/>
        </w:rPr>
        <w:t>Tööinspektsioonile kui ka S</w:t>
      </w:r>
      <w:r w:rsidR="00B62842">
        <w:rPr>
          <w:rFonts w:ascii="Times New Roman" w:hAnsi="Times New Roman" w:cs="Times New Roman"/>
          <w:sz w:val="24"/>
          <w:szCs w:val="24"/>
        </w:rPr>
        <w:t xml:space="preserve">tatistikaametile. Kõige rohkem ollakse rahul üldiselt Äriregistriga, sest sellega ei ole varasemalt ettevõttel otseseid </w:t>
      </w:r>
      <w:proofErr w:type="spellStart"/>
      <w:r w:rsidR="00B62842">
        <w:rPr>
          <w:rFonts w:ascii="Times New Roman" w:hAnsi="Times New Roman" w:cs="Times New Roman"/>
          <w:sz w:val="24"/>
          <w:szCs w:val="24"/>
        </w:rPr>
        <w:t>raksuseid</w:t>
      </w:r>
      <w:proofErr w:type="spellEnd"/>
      <w:r w:rsidR="00B62842">
        <w:rPr>
          <w:rFonts w:ascii="Times New Roman" w:hAnsi="Times New Roman" w:cs="Times New Roman"/>
          <w:sz w:val="24"/>
          <w:szCs w:val="24"/>
        </w:rPr>
        <w:t xml:space="preserve"> tekkinud ning kõik on alati olnud selgesti arusaadav.</w:t>
      </w:r>
    </w:p>
    <w:p w:rsidR="00F8029A" w:rsidRDefault="00581A19" w:rsidP="00581A19">
      <w:pPr>
        <w:spacing w:line="360" w:lineRule="auto"/>
        <w:jc w:val="both"/>
        <w:rPr>
          <w:rFonts w:ascii="Times New Roman" w:hAnsi="Times New Roman" w:cs="Times New Roman"/>
          <w:sz w:val="24"/>
          <w:szCs w:val="24"/>
        </w:rPr>
      </w:pPr>
      <w:r>
        <w:rPr>
          <w:rFonts w:ascii="Times New Roman" w:hAnsi="Times New Roman" w:cs="Times New Roman"/>
          <w:sz w:val="24"/>
          <w:szCs w:val="24"/>
        </w:rPr>
        <w:t>Andm</w:t>
      </w:r>
      <w:r w:rsidR="006E57FB">
        <w:rPr>
          <w:rFonts w:ascii="Times New Roman" w:hAnsi="Times New Roman" w:cs="Times New Roman"/>
          <w:sz w:val="24"/>
          <w:szCs w:val="24"/>
        </w:rPr>
        <w:t>etöötlusviisidest/infotehnoloogil</w:t>
      </w:r>
      <w:r>
        <w:rPr>
          <w:rFonts w:ascii="Times New Roman" w:hAnsi="Times New Roman" w:cs="Times New Roman"/>
          <w:sz w:val="24"/>
          <w:szCs w:val="24"/>
        </w:rPr>
        <w:t>istest vahenditest kasutab Balbiino AS ettevõte majandustarkvara Microsoft Dynamics AX(endine Axapta), mis on juurutatud ettevõttele alates 2010. aastast. Esialgu valmistas programm käsitlemine ettevõttele keerulisust, sest paljusid andmeid oli vaja töödelda käsitsi.</w:t>
      </w:r>
      <w:r w:rsidR="0022068B">
        <w:rPr>
          <w:rFonts w:ascii="Times New Roman" w:hAnsi="Times New Roman" w:cs="Times New Roman"/>
          <w:sz w:val="24"/>
          <w:szCs w:val="24"/>
        </w:rPr>
        <w:t xml:space="preserve"> Üldiselt </w:t>
      </w:r>
      <w:r>
        <w:rPr>
          <w:rFonts w:ascii="Times New Roman" w:hAnsi="Times New Roman" w:cs="Times New Roman"/>
          <w:sz w:val="24"/>
          <w:szCs w:val="24"/>
        </w:rPr>
        <w:t xml:space="preserve">on  ettevõte antud majandustarkvaraga rahul, sest see omab laialdaselt erinevaid funktsioone ning aitab säästa dokumentide täitmisel oluliselt aega. </w:t>
      </w:r>
    </w:p>
    <w:p w:rsidR="00F8029A" w:rsidRDefault="005A298A" w:rsidP="00581A19">
      <w:pPr>
        <w:spacing w:line="360" w:lineRule="auto"/>
        <w:jc w:val="both"/>
        <w:rPr>
          <w:rFonts w:ascii="Times New Roman" w:hAnsi="Times New Roman" w:cs="Times New Roman"/>
          <w:sz w:val="24"/>
          <w:szCs w:val="24"/>
        </w:rPr>
      </w:pPr>
      <w:r>
        <w:rPr>
          <w:rFonts w:ascii="Times New Roman" w:hAnsi="Times New Roman" w:cs="Times New Roman"/>
          <w:sz w:val="24"/>
          <w:szCs w:val="24"/>
        </w:rPr>
        <w:t>Joonis 1</w:t>
      </w:r>
      <w:r w:rsidR="00F8029A">
        <w:rPr>
          <w:rFonts w:ascii="Times New Roman" w:hAnsi="Times New Roman" w:cs="Times New Roman"/>
          <w:sz w:val="24"/>
          <w:szCs w:val="24"/>
        </w:rPr>
        <w:t>. Balbiino AS aastane ajakulu (h) riigiga suhtlemisel</w:t>
      </w:r>
    </w:p>
    <w:p w:rsidR="00581A19" w:rsidRDefault="00FB6098" w:rsidP="00581A19">
      <w:pPr>
        <w:spacing w:line="360" w:lineRule="auto"/>
        <w:jc w:val="both"/>
        <w:rPr>
          <w:rFonts w:ascii="Times New Roman" w:hAnsi="Times New Roman" w:cs="Times New Roman"/>
          <w:sz w:val="24"/>
          <w:szCs w:val="24"/>
        </w:rPr>
      </w:pPr>
      <w:r>
        <w:rPr>
          <w:noProof/>
          <w:lang w:eastAsia="et-EE"/>
        </w:rPr>
        <w:drawing>
          <wp:inline distT="0" distB="0" distL="0" distR="0" wp14:anchorId="21DACBA6" wp14:editId="1CFDF7D3">
            <wp:extent cx="4288155" cy="2274281"/>
            <wp:effectExtent l="0" t="0" r="17145" b="1206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6942" w:rsidRDefault="00C66942" w:rsidP="00581A19">
      <w:pPr>
        <w:spacing w:line="360" w:lineRule="auto"/>
        <w:jc w:val="both"/>
        <w:rPr>
          <w:rFonts w:ascii="Times New Roman" w:hAnsi="Times New Roman" w:cs="Times New Roman"/>
          <w:sz w:val="24"/>
          <w:szCs w:val="24"/>
        </w:rPr>
      </w:pPr>
    </w:p>
    <w:p w:rsidR="005A298A" w:rsidRPr="003F1CB7" w:rsidRDefault="005A298A" w:rsidP="00581A19">
      <w:pPr>
        <w:spacing w:line="360" w:lineRule="auto"/>
        <w:jc w:val="both"/>
        <w:rPr>
          <w:rFonts w:ascii="Times New Roman" w:hAnsi="Times New Roman" w:cs="Times New Roman"/>
          <w:sz w:val="24"/>
          <w:szCs w:val="24"/>
        </w:rPr>
      </w:pPr>
      <w:r w:rsidRPr="003F1CB7">
        <w:rPr>
          <w:rFonts w:ascii="Times New Roman" w:hAnsi="Times New Roman" w:cs="Times New Roman"/>
          <w:sz w:val="24"/>
          <w:szCs w:val="24"/>
        </w:rPr>
        <w:t>Joonis 2.</w:t>
      </w:r>
      <w:r w:rsidR="00362DDD">
        <w:rPr>
          <w:rFonts w:ascii="Times New Roman" w:hAnsi="Times New Roman" w:cs="Times New Roman"/>
          <w:sz w:val="24"/>
          <w:szCs w:val="24"/>
        </w:rPr>
        <w:t xml:space="preserve"> </w:t>
      </w:r>
      <w:r w:rsidR="006C2704">
        <w:rPr>
          <w:rFonts w:ascii="Times New Roman" w:hAnsi="Times New Roman" w:cs="Times New Roman"/>
          <w:sz w:val="24"/>
          <w:szCs w:val="24"/>
        </w:rPr>
        <w:t>Balbiino AS hinnang 1-3 palli skaalal, kus  1“ väga rahul“ ja 3 „üldse ei ole rahul“</w:t>
      </w:r>
    </w:p>
    <w:p w:rsidR="00F8029A" w:rsidRPr="0079112F" w:rsidRDefault="005A298A" w:rsidP="00581A19">
      <w:pPr>
        <w:spacing w:line="360" w:lineRule="auto"/>
        <w:jc w:val="both"/>
        <w:rPr>
          <w:rFonts w:ascii="Times New Roman" w:hAnsi="Times New Roman" w:cs="Times New Roman"/>
          <w:sz w:val="24"/>
          <w:szCs w:val="24"/>
        </w:rPr>
      </w:pPr>
      <w:r>
        <w:rPr>
          <w:noProof/>
          <w:lang w:eastAsia="et-EE"/>
        </w:rPr>
        <w:drawing>
          <wp:inline distT="0" distB="0" distL="0" distR="0" wp14:anchorId="2327FD0C" wp14:editId="7C6DA966">
            <wp:extent cx="4340506" cy="2257063"/>
            <wp:effectExtent l="0" t="0" r="3175" b="1016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1E4A" w:rsidRDefault="00531E4A" w:rsidP="0073111C">
      <w:pPr>
        <w:pStyle w:val="Pealkiri1"/>
      </w:pPr>
      <w:r>
        <w:t xml:space="preserve"> </w:t>
      </w:r>
      <w:r w:rsidRPr="00531E4A">
        <w:t>SANTA MARIA AS</w:t>
      </w:r>
    </w:p>
    <w:p w:rsidR="00B355E0" w:rsidRDefault="00B355E0" w:rsidP="0073111C">
      <w:pPr>
        <w:spacing w:line="360" w:lineRule="auto"/>
        <w:jc w:val="both"/>
        <w:rPr>
          <w:rFonts w:ascii="Times New Roman" w:hAnsi="Times New Roman" w:cs="Times New Roman"/>
          <w:sz w:val="24"/>
          <w:szCs w:val="24"/>
        </w:rPr>
      </w:pPr>
      <w:r w:rsidRPr="003F6BE1">
        <w:rPr>
          <w:rFonts w:ascii="Times New Roman" w:hAnsi="Times New Roman" w:cs="Times New Roman"/>
          <w:sz w:val="24"/>
          <w:szCs w:val="24"/>
        </w:rPr>
        <w:t>Santa Maria A</w:t>
      </w:r>
      <w:r>
        <w:rPr>
          <w:rFonts w:ascii="Times New Roman" w:hAnsi="Times New Roman" w:cs="Times New Roman"/>
          <w:sz w:val="24"/>
          <w:szCs w:val="24"/>
        </w:rPr>
        <w:t xml:space="preserve">S ettevõtte põhitegevusalaks on erinevate maitseainete tootmine ning müümine. Eestis on tegutsemas kaks ettevõtet: Santa Maria AS ning Paulig </w:t>
      </w:r>
      <w:proofErr w:type="spellStart"/>
      <w:r>
        <w:rPr>
          <w:rFonts w:ascii="Times New Roman" w:hAnsi="Times New Roman" w:cs="Times New Roman"/>
          <w:sz w:val="24"/>
          <w:szCs w:val="24"/>
        </w:rPr>
        <w:t>Coffee</w:t>
      </w:r>
      <w:proofErr w:type="spellEnd"/>
      <w:r>
        <w:rPr>
          <w:rFonts w:ascii="Times New Roman" w:hAnsi="Times New Roman" w:cs="Times New Roman"/>
          <w:sz w:val="24"/>
          <w:szCs w:val="24"/>
        </w:rPr>
        <w:t xml:space="preserve"> Estonia AS, mille peamiseks tegevuseks on kohvide </w:t>
      </w:r>
      <w:proofErr w:type="spellStart"/>
      <w:r>
        <w:rPr>
          <w:rFonts w:ascii="Times New Roman" w:hAnsi="Times New Roman" w:cs="Times New Roman"/>
          <w:sz w:val="24"/>
          <w:szCs w:val="24"/>
        </w:rPr>
        <w:t>sisseostmine</w:t>
      </w:r>
      <w:proofErr w:type="spellEnd"/>
      <w:r>
        <w:rPr>
          <w:rFonts w:ascii="Times New Roman" w:hAnsi="Times New Roman" w:cs="Times New Roman"/>
          <w:sz w:val="24"/>
          <w:szCs w:val="24"/>
        </w:rPr>
        <w:t xml:space="preserve">, automaatide hooldus ning kohvimasinate rentimine. Santa Maria AS ettevõttes töötab </w:t>
      </w:r>
      <w:proofErr w:type="spellStart"/>
      <w:r>
        <w:rPr>
          <w:rFonts w:ascii="Times New Roman" w:hAnsi="Times New Roman" w:cs="Times New Roman"/>
          <w:sz w:val="24"/>
          <w:szCs w:val="24"/>
        </w:rPr>
        <w:t>koku</w:t>
      </w:r>
      <w:proofErr w:type="spellEnd"/>
      <w:r>
        <w:rPr>
          <w:rFonts w:ascii="Times New Roman" w:hAnsi="Times New Roman" w:cs="Times New Roman"/>
          <w:sz w:val="24"/>
          <w:szCs w:val="24"/>
        </w:rPr>
        <w:t xml:space="preserve"> 109 inimest ning 2018. aasta seisuga oli ettevõtte müügitulu ja käive 35,32 miljonit eurot. Halduskoormuse seisukohalt on Santa Maria AS ettevõttel suurem halduskoormus kui </w:t>
      </w:r>
      <w:proofErr w:type="spellStart"/>
      <w:r>
        <w:rPr>
          <w:rFonts w:ascii="Times New Roman" w:hAnsi="Times New Roman" w:cs="Times New Roman"/>
          <w:sz w:val="24"/>
          <w:szCs w:val="24"/>
        </w:rPr>
        <w:t>Coffee</w:t>
      </w:r>
      <w:proofErr w:type="spellEnd"/>
      <w:r>
        <w:rPr>
          <w:rFonts w:ascii="Times New Roman" w:hAnsi="Times New Roman" w:cs="Times New Roman"/>
          <w:sz w:val="24"/>
          <w:szCs w:val="24"/>
        </w:rPr>
        <w:t xml:space="preserve"> Estonia </w:t>
      </w:r>
      <w:proofErr w:type="spellStart"/>
      <w:r>
        <w:rPr>
          <w:rFonts w:ascii="Times New Roman" w:hAnsi="Times New Roman" w:cs="Times New Roman"/>
          <w:sz w:val="24"/>
          <w:szCs w:val="24"/>
        </w:rPr>
        <w:t>AS-l</w:t>
      </w:r>
      <w:proofErr w:type="spellEnd"/>
      <w:r>
        <w:rPr>
          <w:rFonts w:ascii="Times New Roman" w:hAnsi="Times New Roman" w:cs="Times New Roman"/>
          <w:sz w:val="24"/>
          <w:szCs w:val="24"/>
        </w:rPr>
        <w:t>. Santa Maria ettevõtte on nendest kõige komplektsem ning ettevõtte põhiline tegevus toimub Sauel. Müügiprotsess jaguneb kaheks: toitlustus ning tooted, mis liiguvad läbi jaekaubanduse.</w:t>
      </w:r>
    </w:p>
    <w:p w:rsidR="00B355E0" w:rsidRDefault="00B355E0" w:rsidP="007311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Eksportturgude seisukohalt toimub Santa Maria ettevõttes põhiline tootmine Rootsi, kus oli kõige suurem osakaal 12,5 miljonit eurot 2018. aasta seisuga. Sealhulgas toimub eksportimine ka Leetu, Lätti, Venemaale ning Poola. Santa Maria AS ettevõtte maitseainete toorained ostetakse teistest riikidest sisse. Kuid tehases kohapeal toimuvad edaspidised faasid, kus esialgu on oluline tooraine puhastamine ja kontrollimine. Seejärel segatakse erimevad maitseainesegud kokku ning hakatakse pakendama. Kuid ainuke maitseaine, milleks on hõõgveini segu, pakendatakse tehases käsitsi. Sauel asuvas Santa Maria tehases on kokku ligikaudu 750 erinevat toodet, kuid partiide vähesuse tõttu võtab toodete vahetus palju aega. Ettevõttes töötab ka </w:t>
      </w:r>
      <w:proofErr w:type="spellStart"/>
      <w:r>
        <w:rPr>
          <w:rFonts w:ascii="Times New Roman" w:hAnsi="Times New Roman" w:cs="Times New Roman"/>
          <w:sz w:val="24"/>
          <w:szCs w:val="24"/>
        </w:rPr>
        <w:t>Operation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Performance</w:t>
      </w:r>
      <w:proofErr w:type="spellEnd"/>
      <w:r>
        <w:rPr>
          <w:rFonts w:ascii="Times New Roman" w:hAnsi="Times New Roman" w:cs="Times New Roman"/>
          <w:sz w:val="24"/>
          <w:szCs w:val="24"/>
        </w:rPr>
        <w:t>, kelle eesmärk on leida võimalusi optimeerimiseks tootlik</w:t>
      </w:r>
      <w:r w:rsidR="0073111C">
        <w:rPr>
          <w:rFonts w:ascii="Times New Roman" w:hAnsi="Times New Roman" w:cs="Times New Roman"/>
          <w:sz w:val="24"/>
          <w:szCs w:val="24"/>
        </w:rPr>
        <w:t>k</w:t>
      </w:r>
      <w:r>
        <w:rPr>
          <w:rFonts w:ascii="Times New Roman" w:hAnsi="Times New Roman" w:cs="Times New Roman"/>
          <w:sz w:val="24"/>
          <w:szCs w:val="24"/>
        </w:rPr>
        <w:t>use tõstmiseks, efektiivsuses jne.</w:t>
      </w:r>
    </w:p>
    <w:p w:rsidR="00B816E0" w:rsidRDefault="00B355E0" w:rsidP="0073111C">
      <w:pPr>
        <w:spacing w:line="360" w:lineRule="auto"/>
        <w:jc w:val="both"/>
        <w:rPr>
          <w:rFonts w:ascii="Times New Roman" w:hAnsi="Times New Roman" w:cs="Times New Roman"/>
          <w:sz w:val="24"/>
          <w:szCs w:val="24"/>
        </w:rPr>
      </w:pPr>
      <w:r w:rsidRPr="00B816E0">
        <w:rPr>
          <w:rFonts w:ascii="Times New Roman" w:hAnsi="Times New Roman" w:cs="Times New Roman"/>
          <w:sz w:val="24"/>
          <w:szCs w:val="24"/>
        </w:rPr>
        <w:t xml:space="preserve">Halduskoormuse mõõtmise seisukohalt selgus, et Santa Maria AS ettevõttel Keskkonnateenustega kokkupuude üldiselt puudub, sest ettevõte rendib müügipinda. Samuti halduskoormuse mõõtmisel selgus, et mõningaid teenuseid ostab ettevõte ise sisse (TSD ja selle lisad, tollideklaratsioonid ning e-maksuameti töötamise register). Seetõttu antud teenused ettevõttes oluliselt suurt ajakulu ei ole võtnud. Kuid ettevõtte seisukohalt on vähese suhtluse käigus esinenud üksikuid probleeme Keskkonnaameti andmestiku ning selle nõrkusega. Sellest tulenevalt on antud </w:t>
      </w:r>
      <w:proofErr w:type="spellStart"/>
      <w:r w:rsidRPr="00B816E0">
        <w:rPr>
          <w:rFonts w:ascii="Times New Roman" w:hAnsi="Times New Roman" w:cs="Times New Roman"/>
          <w:sz w:val="24"/>
          <w:szCs w:val="24"/>
        </w:rPr>
        <w:t>endapoolt</w:t>
      </w:r>
      <w:proofErr w:type="spellEnd"/>
      <w:r w:rsidRPr="00B816E0">
        <w:rPr>
          <w:rFonts w:ascii="Times New Roman" w:hAnsi="Times New Roman" w:cs="Times New Roman"/>
          <w:sz w:val="24"/>
          <w:szCs w:val="24"/>
        </w:rPr>
        <w:t xml:space="preserve"> ka kõige madalam hinnang Keskkonnateenustele 1-3 palli skaalal, kus hinnanguks on kujunenud 3 „üldse ei ole rahul“</w:t>
      </w:r>
      <w:r w:rsidR="00B65768" w:rsidRPr="00B816E0">
        <w:rPr>
          <w:rFonts w:ascii="Times New Roman" w:hAnsi="Times New Roman" w:cs="Times New Roman"/>
          <w:sz w:val="24"/>
          <w:szCs w:val="24"/>
        </w:rPr>
        <w:t xml:space="preserve"> (vt joonis 4). </w:t>
      </w:r>
      <w:r w:rsidRPr="00B816E0">
        <w:rPr>
          <w:rFonts w:ascii="Times New Roman" w:hAnsi="Times New Roman" w:cs="Times New Roman"/>
          <w:sz w:val="24"/>
          <w:szCs w:val="24"/>
        </w:rPr>
        <w:t xml:space="preserve">Samas kõige rohkem on rahule jäädud. </w:t>
      </w:r>
    </w:p>
    <w:p w:rsidR="00440CFC" w:rsidRPr="00EA453E" w:rsidRDefault="00B816E0" w:rsidP="0073111C">
      <w:pPr>
        <w:spacing w:line="360" w:lineRule="auto"/>
        <w:jc w:val="both"/>
        <w:rPr>
          <w:rFonts w:ascii="Times New Roman" w:eastAsia="Times New Roman" w:hAnsi="Times New Roman" w:cs="Times New Roman"/>
          <w:color w:val="000000"/>
          <w:sz w:val="24"/>
          <w:szCs w:val="24"/>
          <w:lang w:eastAsia="et-EE"/>
        </w:rPr>
      </w:pPr>
      <w:r>
        <w:rPr>
          <w:rFonts w:ascii="Times New Roman" w:hAnsi="Times New Roman" w:cs="Times New Roman"/>
          <w:sz w:val="24"/>
          <w:szCs w:val="24"/>
        </w:rPr>
        <w:t xml:space="preserve">Ettevõttele on </w:t>
      </w:r>
      <w:r w:rsidR="00B355E0" w:rsidRPr="00B816E0">
        <w:rPr>
          <w:rFonts w:ascii="Times New Roman" w:hAnsi="Times New Roman" w:cs="Times New Roman"/>
          <w:sz w:val="24"/>
          <w:szCs w:val="24"/>
        </w:rPr>
        <w:t>tekitanud suuri probleeme Statisti</w:t>
      </w:r>
      <w:r w:rsidRPr="00B816E0">
        <w:rPr>
          <w:rFonts w:ascii="Times New Roman" w:hAnsi="Times New Roman" w:cs="Times New Roman"/>
          <w:sz w:val="24"/>
          <w:szCs w:val="24"/>
        </w:rPr>
        <w:t>kaametiga ning EMTA-</w:t>
      </w:r>
      <w:proofErr w:type="spellStart"/>
      <w:r w:rsidRPr="00B816E0">
        <w:rPr>
          <w:rFonts w:ascii="Times New Roman" w:hAnsi="Times New Roman" w:cs="Times New Roman"/>
          <w:sz w:val="24"/>
          <w:szCs w:val="24"/>
        </w:rPr>
        <w:t>ga</w:t>
      </w:r>
      <w:proofErr w:type="spellEnd"/>
      <w:r w:rsidRPr="00B816E0">
        <w:rPr>
          <w:rFonts w:ascii="Times New Roman" w:hAnsi="Times New Roman" w:cs="Times New Roman"/>
          <w:sz w:val="24"/>
          <w:szCs w:val="24"/>
        </w:rPr>
        <w:t xml:space="preserve"> koostöö.</w:t>
      </w:r>
      <w:r>
        <w:rPr>
          <w:rFonts w:ascii="Times New Roman" w:hAnsi="Times New Roman" w:cs="Times New Roman"/>
          <w:sz w:val="24"/>
          <w:szCs w:val="24"/>
        </w:rPr>
        <w:t xml:space="preserve"> Eelkõige on rõhutatud, et </w:t>
      </w:r>
      <w:r w:rsidR="00C67E64" w:rsidRPr="00B816E0">
        <w:rPr>
          <w:rFonts w:ascii="Times New Roman" w:hAnsi="Times New Roman" w:cs="Times New Roman"/>
          <w:sz w:val="24"/>
          <w:szCs w:val="24"/>
        </w:rPr>
        <w:t>keskkonnakaitse kulutus</w:t>
      </w:r>
      <w:r w:rsidR="00B355E0" w:rsidRPr="00B816E0">
        <w:rPr>
          <w:rFonts w:ascii="Times New Roman" w:hAnsi="Times New Roman" w:cs="Times New Roman"/>
          <w:sz w:val="24"/>
          <w:szCs w:val="24"/>
        </w:rPr>
        <w:t>te osas on andmete kättesaadavuse ja läbipaistvusega esinenud probleeme, majandustegevuse osas on andmete kättesaamine olnud üsna kehva ning tööstustoodete puhul valmistab info kätte saamine olulisi raskusi. Sealhulgas on Statistikaameti kohapealt mainitud, et infotehnoloogia suhtes ei ole võimalik tulemus</w:t>
      </w:r>
      <w:r>
        <w:rPr>
          <w:rFonts w:ascii="Times New Roman" w:hAnsi="Times New Roman" w:cs="Times New Roman"/>
          <w:sz w:val="24"/>
          <w:szCs w:val="24"/>
        </w:rPr>
        <w:t>i ettevõttel näha.</w:t>
      </w:r>
      <w:r w:rsidR="00B355E0" w:rsidRPr="00B816E0">
        <w:rPr>
          <w:rFonts w:ascii="Times New Roman" w:hAnsi="Times New Roman" w:cs="Times New Roman"/>
          <w:sz w:val="24"/>
          <w:szCs w:val="24"/>
        </w:rPr>
        <w:t xml:space="preserve"> EKOMAR B-E o</w:t>
      </w:r>
      <w:r w:rsidR="0071506D" w:rsidRPr="00B816E0">
        <w:rPr>
          <w:rFonts w:ascii="Times New Roman" w:hAnsi="Times New Roman" w:cs="Times New Roman"/>
          <w:sz w:val="24"/>
          <w:szCs w:val="24"/>
        </w:rPr>
        <w:t>s</w:t>
      </w:r>
      <w:r w:rsidR="00137AB0" w:rsidRPr="00B816E0">
        <w:rPr>
          <w:rFonts w:ascii="Times New Roman" w:hAnsi="Times New Roman" w:cs="Times New Roman"/>
          <w:sz w:val="24"/>
          <w:szCs w:val="24"/>
        </w:rPr>
        <w:t>as on vaja teha palju käsitööd ning ettevõtte seisukohalt ei ole see üldse oluline.</w:t>
      </w:r>
      <w:r w:rsidRPr="00B816E0">
        <w:rPr>
          <w:rFonts w:ascii="Times New Roman" w:hAnsi="Times New Roman" w:cs="Times New Roman"/>
          <w:sz w:val="24"/>
          <w:szCs w:val="24"/>
        </w:rPr>
        <w:t xml:space="preserve"> EMTA puhul on välja toodud, et </w:t>
      </w:r>
      <w:r w:rsidRPr="00B816E0">
        <w:rPr>
          <w:rFonts w:ascii="Times New Roman" w:eastAsia="Times New Roman" w:hAnsi="Times New Roman" w:cs="Times New Roman"/>
          <w:color w:val="000000"/>
          <w:sz w:val="24"/>
          <w:szCs w:val="24"/>
          <w:lang w:eastAsia="et-EE"/>
        </w:rPr>
        <w:t>tööajamäär ei ole mõistlik, kui inimes</w:t>
      </w:r>
      <w:r>
        <w:rPr>
          <w:rFonts w:ascii="Times New Roman" w:eastAsia="Times New Roman" w:hAnsi="Times New Roman" w:cs="Times New Roman"/>
          <w:color w:val="000000"/>
          <w:sz w:val="24"/>
          <w:szCs w:val="24"/>
          <w:lang w:eastAsia="et-EE"/>
        </w:rPr>
        <w:t xml:space="preserve">tel on see muutlik. </w:t>
      </w:r>
      <w:r w:rsidRPr="00B816E0">
        <w:rPr>
          <w:rFonts w:ascii="Times New Roman" w:eastAsia="Times New Roman" w:hAnsi="Times New Roman" w:cs="Times New Roman"/>
          <w:color w:val="000000"/>
          <w:sz w:val="24"/>
          <w:szCs w:val="24"/>
          <w:lang w:eastAsia="et-EE"/>
        </w:rPr>
        <w:t>Ametinimetused ja liigitused ei ole õnnestunud-segased ja lihtsamad nimetused puuduvad. Klassifikaatorid</w:t>
      </w:r>
      <w:r>
        <w:rPr>
          <w:rFonts w:ascii="Times New Roman" w:eastAsia="Times New Roman" w:hAnsi="Times New Roman" w:cs="Times New Roman"/>
          <w:color w:val="000000"/>
          <w:sz w:val="24"/>
          <w:szCs w:val="24"/>
          <w:lang w:eastAsia="et-EE"/>
        </w:rPr>
        <w:t xml:space="preserve"> on </w:t>
      </w:r>
      <w:proofErr w:type="spellStart"/>
      <w:r>
        <w:rPr>
          <w:rFonts w:ascii="Times New Roman" w:eastAsia="Times New Roman" w:hAnsi="Times New Roman" w:cs="Times New Roman"/>
          <w:color w:val="000000"/>
          <w:sz w:val="24"/>
          <w:szCs w:val="24"/>
          <w:lang w:eastAsia="et-EE"/>
        </w:rPr>
        <w:t>osut</w:t>
      </w:r>
      <w:r w:rsidR="00D719ED">
        <w:rPr>
          <w:rFonts w:ascii="Times New Roman" w:eastAsia="Times New Roman" w:hAnsi="Times New Roman" w:cs="Times New Roman"/>
          <w:color w:val="000000"/>
          <w:sz w:val="24"/>
          <w:szCs w:val="24"/>
          <w:lang w:eastAsia="et-EE"/>
        </w:rPr>
        <w:t>U</w:t>
      </w:r>
      <w:r>
        <w:rPr>
          <w:rFonts w:ascii="Times New Roman" w:eastAsia="Times New Roman" w:hAnsi="Times New Roman" w:cs="Times New Roman"/>
          <w:color w:val="000000"/>
          <w:sz w:val="24"/>
          <w:szCs w:val="24"/>
          <w:lang w:eastAsia="et-EE"/>
        </w:rPr>
        <w:t>nud</w:t>
      </w:r>
      <w:proofErr w:type="spellEnd"/>
      <w:r>
        <w:rPr>
          <w:rFonts w:ascii="Times New Roman" w:eastAsia="Times New Roman" w:hAnsi="Times New Roman" w:cs="Times New Roman"/>
          <w:color w:val="000000"/>
          <w:sz w:val="24"/>
          <w:szCs w:val="24"/>
          <w:lang w:eastAsia="et-EE"/>
        </w:rPr>
        <w:t xml:space="preserve"> suureks murekohaks ning nendest ei ole olnud suurt abi.</w:t>
      </w:r>
      <w:r>
        <w:rPr>
          <w:rFonts w:ascii="Times New Roman" w:hAnsi="Times New Roman" w:cs="Times New Roman"/>
          <w:sz w:val="24"/>
          <w:szCs w:val="24"/>
        </w:rPr>
        <w:t xml:space="preserve"> </w:t>
      </w:r>
      <w:r w:rsidR="00137AB0">
        <w:rPr>
          <w:rFonts w:ascii="Times New Roman" w:hAnsi="Times New Roman" w:cs="Times New Roman"/>
          <w:sz w:val="24"/>
          <w:szCs w:val="24"/>
        </w:rPr>
        <w:t xml:space="preserve"> </w:t>
      </w:r>
      <w:r w:rsidR="0071506D">
        <w:rPr>
          <w:rFonts w:ascii="Times New Roman" w:hAnsi="Times New Roman" w:cs="Times New Roman"/>
          <w:sz w:val="24"/>
          <w:szCs w:val="24"/>
        </w:rPr>
        <w:t>EMTA</w:t>
      </w:r>
      <w:r w:rsidR="00137AB0">
        <w:rPr>
          <w:rFonts w:ascii="Times New Roman" w:hAnsi="Times New Roman" w:cs="Times New Roman"/>
          <w:sz w:val="24"/>
          <w:szCs w:val="24"/>
        </w:rPr>
        <w:t xml:space="preserve"> (107 tundi) ja </w:t>
      </w:r>
      <w:r w:rsidR="0071506D">
        <w:rPr>
          <w:rFonts w:ascii="Times New Roman" w:hAnsi="Times New Roman" w:cs="Times New Roman"/>
          <w:sz w:val="24"/>
          <w:szCs w:val="24"/>
        </w:rPr>
        <w:t>Statistikaamet( 63 tundi)</w:t>
      </w:r>
      <w:r w:rsidR="00137AB0">
        <w:rPr>
          <w:rFonts w:ascii="Times New Roman" w:hAnsi="Times New Roman" w:cs="Times New Roman"/>
          <w:sz w:val="24"/>
          <w:szCs w:val="24"/>
        </w:rPr>
        <w:t xml:space="preserve"> on</w:t>
      </w:r>
      <w:r w:rsidR="0071506D">
        <w:rPr>
          <w:rFonts w:ascii="Times New Roman" w:hAnsi="Times New Roman" w:cs="Times New Roman"/>
          <w:sz w:val="24"/>
          <w:szCs w:val="24"/>
        </w:rPr>
        <w:t xml:space="preserve"> moodustanud e</w:t>
      </w:r>
      <w:r w:rsidR="00276574">
        <w:rPr>
          <w:rFonts w:ascii="Times New Roman" w:hAnsi="Times New Roman" w:cs="Times New Roman"/>
          <w:sz w:val="24"/>
          <w:szCs w:val="24"/>
        </w:rPr>
        <w:t>ttevõttes kõige suurema ajakulu ( vt joonis 3).</w:t>
      </w:r>
      <w:r w:rsidR="001813F8">
        <w:rPr>
          <w:rFonts w:ascii="Times New Roman" w:hAnsi="Times New Roman" w:cs="Times New Roman"/>
          <w:sz w:val="24"/>
          <w:szCs w:val="24"/>
        </w:rPr>
        <w:t xml:space="preserve"> Kõige väiksema ajakuluga on Tööinspektsioon, mille osas ettevõte näidanud ka s</w:t>
      </w:r>
      <w:r w:rsidR="00EA453E">
        <w:rPr>
          <w:rFonts w:ascii="Times New Roman" w:hAnsi="Times New Roman" w:cs="Times New Roman"/>
          <w:sz w:val="24"/>
          <w:szCs w:val="24"/>
        </w:rPr>
        <w:t>uuremat rahulolu (vt joonis 4).</w:t>
      </w:r>
    </w:p>
    <w:p w:rsidR="00531E4A" w:rsidRPr="00531E4A" w:rsidRDefault="00531E4A" w:rsidP="00581A19">
      <w:pPr>
        <w:spacing w:line="360" w:lineRule="auto"/>
        <w:jc w:val="both"/>
        <w:rPr>
          <w:rFonts w:ascii="Times New Roman" w:hAnsi="Times New Roman" w:cs="Times New Roman"/>
          <w:sz w:val="24"/>
          <w:szCs w:val="24"/>
        </w:rPr>
      </w:pPr>
      <w:r w:rsidRPr="00531E4A">
        <w:rPr>
          <w:rFonts w:ascii="Times New Roman" w:hAnsi="Times New Roman" w:cs="Times New Roman"/>
          <w:sz w:val="24"/>
          <w:szCs w:val="24"/>
        </w:rPr>
        <w:t>Joonis 3. Santa Maria AS aastane ajakulu (h) riigiga suhtlemisel</w:t>
      </w:r>
    </w:p>
    <w:p w:rsidR="00C66942" w:rsidRDefault="00531E4A" w:rsidP="003105DB">
      <w:pPr>
        <w:spacing w:line="360" w:lineRule="auto"/>
        <w:jc w:val="both"/>
        <w:rPr>
          <w:rFonts w:ascii="Times New Roman" w:hAnsi="Times New Roman" w:cs="Times New Roman"/>
          <w:b/>
          <w:sz w:val="24"/>
          <w:szCs w:val="24"/>
        </w:rPr>
      </w:pPr>
      <w:r>
        <w:rPr>
          <w:noProof/>
          <w:lang w:eastAsia="et-EE"/>
        </w:rPr>
        <w:drawing>
          <wp:inline distT="0" distB="0" distL="0" distR="0" wp14:anchorId="052AF035" wp14:editId="4A72B670">
            <wp:extent cx="4392292" cy="2283358"/>
            <wp:effectExtent l="0" t="0" r="8890" b="317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111C" w:rsidRDefault="0073111C" w:rsidP="00C66942">
      <w:pPr>
        <w:spacing w:line="360" w:lineRule="auto"/>
        <w:jc w:val="both"/>
        <w:rPr>
          <w:rFonts w:ascii="Times New Roman" w:hAnsi="Times New Roman" w:cs="Times New Roman"/>
          <w:sz w:val="24"/>
          <w:szCs w:val="24"/>
        </w:rPr>
      </w:pPr>
    </w:p>
    <w:p w:rsidR="0073111C" w:rsidRDefault="0073111C">
      <w:pPr>
        <w:rPr>
          <w:rFonts w:ascii="Times New Roman" w:hAnsi="Times New Roman" w:cs="Times New Roman"/>
          <w:sz w:val="24"/>
          <w:szCs w:val="24"/>
        </w:rPr>
      </w:pPr>
      <w:r>
        <w:rPr>
          <w:rFonts w:ascii="Times New Roman" w:hAnsi="Times New Roman" w:cs="Times New Roman"/>
          <w:sz w:val="24"/>
          <w:szCs w:val="24"/>
        </w:rPr>
        <w:br w:type="page"/>
      </w:r>
    </w:p>
    <w:p w:rsidR="00C66942" w:rsidRPr="00C66942" w:rsidRDefault="00C66942" w:rsidP="00C66942">
      <w:pPr>
        <w:spacing w:line="360" w:lineRule="auto"/>
        <w:jc w:val="both"/>
        <w:rPr>
          <w:rFonts w:ascii="Times New Roman" w:hAnsi="Times New Roman" w:cs="Times New Roman"/>
          <w:sz w:val="24"/>
          <w:szCs w:val="24"/>
        </w:rPr>
      </w:pPr>
      <w:r w:rsidRPr="00C66942">
        <w:rPr>
          <w:rFonts w:ascii="Times New Roman" w:hAnsi="Times New Roman" w:cs="Times New Roman"/>
          <w:sz w:val="24"/>
          <w:szCs w:val="24"/>
        </w:rPr>
        <w:t>Joonis 4.  Santa Maria AS hinnang 1-3 palli skaalal, kus  1“ väga rahul“ ja 3 „üldse ei ole rahul“</w:t>
      </w:r>
    </w:p>
    <w:p w:rsidR="00A01787" w:rsidRDefault="00A01787" w:rsidP="00574368">
      <w:pPr>
        <w:pStyle w:val="Vahedeta"/>
        <w:spacing w:line="360" w:lineRule="auto"/>
        <w:jc w:val="both"/>
        <w:rPr>
          <w:rFonts w:ascii="Times New Roman" w:hAnsi="Times New Roman" w:cs="Times New Roman"/>
          <w:b/>
          <w:sz w:val="24"/>
          <w:szCs w:val="24"/>
        </w:rPr>
      </w:pPr>
      <w:r>
        <w:rPr>
          <w:noProof/>
          <w:lang w:eastAsia="et-EE"/>
        </w:rPr>
        <w:drawing>
          <wp:inline distT="0" distB="0" distL="0" distR="0" wp14:anchorId="1B6817EA" wp14:editId="1A467E36">
            <wp:extent cx="4513859" cy="2389069"/>
            <wp:effectExtent l="0" t="0" r="1270" b="1143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1A19" w:rsidRDefault="00581A19" w:rsidP="00574368">
      <w:pPr>
        <w:pStyle w:val="Vahedeta"/>
        <w:spacing w:line="360" w:lineRule="auto"/>
        <w:jc w:val="both"/>
        <w:rPr>
          <w:rFonts w:ascii="Times New Roman" w:hAnsi="Times New Roman" w:cs="Times New Roman"/>
          <w:b/>
          <w:sz w:val="24"/>
          <w:szCs w:val="24"/>
        </w:rPr>
      </w:pPr>
    </w:p>
    <w:p w:rsidR="00A34B0C" w:rsidRDefault="00A34B0C" w:rsidP="0073111C">
      <w:pPr>
        <w:pStyle w:val="Pealkiri1"/>
      </w:pPr>
      <w:r>
        <w:t xml:space="preserve">VALIO EESTI AS </w:t>
      </w:r>
    </w:p>
    <w:p w:rsidR="00E21065" w:rsidRPr="008229F9" w:rsidRDefault="00E21065" w:rsidP="0073111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Valio</w:t>
      </w:r>
      <w:proofErr w:type="spellEnd"/>
      <w:r>
        <w:rPr>
          <w:rFonts w:ascii="Times New Roman" w:hAnsi="Times New Roman" w:cs="Times New Roman"/>
          <w:sz w:val="24"/>
          <w:szCs w:val="24"/>
        </w:rPr>
        <w:t xml:space="preserve"> Eesti AS </w:t>
      </w:r>
      <w:r w:rsidRPr="008229F9">
        <w:rPr>
          <w:rFonts w:ascii="Times New Roman" w:hAnsi="Times New Roman" w:cs="Times New Roman"/>
          <w:sz w:val="24"/>
          <w:szCs w:val="24"/>
        </w:rPr>
        <w:t xml:space="preserve">on 1992. aastal asutatud üks suurimaid kohalikke piimatööstusettevõtteid, mis toodab ja turustab peamiselt Lõuna-Eesti farmide piimast valmistatud värskeid piimatooteid ja juustusid. </w:t>
      </w:r>
      <w:proofErr w:type="spellStart"/>
      <w:r w:rsidRPr="008229F9">
        <w:rPr>
          <w:rFonts w:ascii="Times New Roman" w:hAnsi="Times New Roman" w:cs="Times New Roman"/>
          <w:sz w:val="24"/>
          <w:szCs w:val="24"/>
        </w:rPr>
        <w:t>Valio</w:t>
      </w:r>
      <w:proofErr w:type="spellEnd"/>
      <w:r w:rsidRPr="008229F9">
        <w:rPr>
          <w:rFonts w:ascii="Times New Roman" w:hAnsi="Times New Roman" w:cs="Times New Roman"/>
          <w:sz w:val="24"/>
          <w:szCs w:val="24"/>
        </w:rPr>
        <w:t xml:space="preserve"> Eesti</w:t>
      </w:r>
      <w:r>
        <w:rPr>
          <w:rFonts w:ascii="Times New Roman" w:hAnsi="Times New Roman" w:cs="Times New Roman"/>
          <w:sz w:val="24"/>
          <w:szCs w:val="24"/>
        </w:rPr>
        <w:t xml:space="preserve"> AS põhineb 100% Soome kapitalil ning </w:t>
      </w:r>
      <w:r w:rsidRPr="008229F9">
        <w:rPr>
          <w:rFonts w:ascii="Times New Roman" w:hAnsi="Times New Roman" w:cs="Times New Roman"/>
          <w:sz w:val="24"/>
          <w:szCs w:val="24"/>
        </w:rPr>
        <w:t xml:space="preserve"> tehased as</w:t>
      </w:r>
      <w:r>
        <w:rPr>
          <w:rFonts w:ascii="Times New Roman" w:hAnsi="Times New Roman" w:cs="Times New Roman"/>
          <w:sz w:val="24"/>
          <w:szCs w:val="24"/>
        </w:rPr>
        <w:t xml:space="preserve">uvad Laeva külas Tartumaal kui ka Võrus. </w:t>
      </w:r>
      <w:proofErr w:type="spellStart"/>
      <w:r w:rsidRPr="008229F9">
        <w:rPr>
          <w:rFonts w:ascii="Times New Roman" w:hAnsi="Times New Roman" w:cs="Times New Roman"/>
          <w:sz w:val="24"/>
          <w:szCs w:val="24"/>
        </w:rPr>
        <w:t>Valio</w:t>
      </w:r>
      <w:proofErr w:type="spellEnd"/>
      <w:r>
        <w:rPr>
          <w:rFonts w:ascii="Times New Roman" w:hAnsi="Times New Roman" w:cs="Times New Roman"/>
          <w:sz w:val="24"/>
          <w:szCs w:val="24"/>
        </w:rPr>
        <w:t xml:space="preserve"> </w:t>
      </w:r>
      <w:r w:rsidRPr="008229F9">
        <w:rPr>
          <w:rFonts w:ascii="Times New Roman" w:hAnsi="Times New Roman" w:cs="Times New Roman"/>
          <w:sz w:val="24"/>
          <w:szCs w:val="24"/>
        </w:rPr>
        <w:t>Eesti</w:t>
      </w:r>
      <w:r>
        <w:rPr>
          <w:rFonts w:ascii="Times New Roman" w:hAnsi="Times New Roman" w:cs="Times New Roman"/>
          <w:sz w:val="24"/>
          <w:szCs w:val="24"/>
        </w:rPr>
        <w:t xml:space="preserve"> toodete valik täieneb iga aastaga ning kokku toodetakse üle </w:t>
      </w:r>
      <w:r w:rsidRPr="008229F9">
        <w:rPr>
          <w:rFonts w:ascii="Times New Roman" w:hAnsi="Times New Roman" w:cs="Times New Roman"/>
          <w:sz w:val="24"/>
          <w:szCs w:val="24"/>
        </w:rPr>
        <w:t>400</w:t>
      </w:r>
      <w:r>
        <w:rPr>
          <w:rFonts w:ascii="Times New Roman" w:hAnsi="Times New Roman" w:cs="Times New Roman"/>
          <w:sz w:val="24"/>
          <w:szCs w:val="24"/>
        </w:rPr>
        <w:t xml:space="preserve"> erineva piima- ja juustutoote. Samuti on ettevõttes töölisi kokku koos Soomega ligikaudu 4 tuhat inimest ning sellest moodustab Eestis umbes 460 töölist. Ettevõte </w:t>
      </w:r>
      <w:r w:rsidRPr="008229F9">
        <w:rPr>
          <w:rFonts w:ascii="Times New Roman" w:hAnsi="Times New Roman" w:cs="Times New Roman"/>
          <w:sz w:val="24"/>
          <w:szCs w:val="24"/>
        </w:rPr>
        <w:t>on üks Eesti juhtivaid toorpiima kokkuostjaid, piimatoodete, sh juustude eksportijaid ning Laeva</w:t>
      </w:r>
      <w:r>
        <w:rPr>
          <w:rFonts w:ascii="Times New Roman" w:hAnsi="Times New Roman" w:cs="Times New Roman"/>
          <w:sz w:val="24"/>
          <w:szCs w:val="24"/>
        </w:rPr>
        <w:t xml:space="preserve"> küla ja Võru linna </w:t>
      </w:r>
      <w:r w:rsidRPr="008229F9">
        <w:rPr>
          <w:rFonts w:ascii="Times New Roman" w:hAnsi="Times New Roman" w:cs="Times New Roman"/>
          <w:sz w:val="24"/>
          <w:szCs w:val="24"/>
        </w:rPr>
        <w:t>suurim</w:t>
      </w:r>
      <w:r>
        <w:rPr>
          <w:rFonts w:ascii="Times New Roman" w:hAnsi="Times New Roman" w:cs="Times New Roman"/>
          <w:sz w:val="24"/>
          <w:szCs w:val="24"/>
        </w:rPr>
        <w:t>aid tööandjaid.</w:t>
      </w:r>
    </w:p>
    <w:p w:rsidR="00E21065" w:rsidRDefault="00E21065" w:rsidP="0073111C">
      <w:pPr>
        <w:spacing w:line="360" w:lineRule="auto"/>
        <w:jc w:val="both"/>
        <w:rPr>
          <w:rFonts w:ascii="Times New Roman" w:hAnsi="Times New Roman" w:cs="Times New Roman"/>
          <w:sz w:val="24"/>
          <w:szCs w:val="24"/>
        </w:rPr>
      </w:pPr>
      <w:proofErr w:type="spellStart"/>
      <w:r w:rsidRPr="008229F9">
        <w:rPr>
          <w:rFonts w:ascii="Times New Roman" w:hAnsi="Times New Roman" w:cs="Times New Roman"/>
          <w:sz w:val="24"/>
          <w:szCs w:val="24"/>
        </w:rPr>
        <w:t>Valio</w:t>
      </w:r>
      <w:proofErr w:type="spellEnd"/>
      <w:r w:rsidRPr="008229F9">
        <w:rPr>
          <w:rFonts w:ascii="Times New Roman" w:hAnsi="Times New Roman" w:cs="Times New Roman"/>
          <w:sz w:val="24"/>
          <w:szCs w:val="24"/>
        </w:rPr>
        <w:t xml:space="preserve"> Eesti piimatooteid leiab</w:t>
      </w:r>
      <w:r>
        <w:rPr>
          <w:rFonts w:ascii="Times New Roman" w:hAnsi="Times New Roman" w:cs="Times New Roman"/>
          <w:sz w:val="24"/>
          <w:szCs w:val="24"/>
        </w:rPr>
        <w:t xml:space="preserve"> nii </w:t>
      </w:r>
      <w:r w:rsidRPr="008229F9">
        <w:rPr>
          <w:rFonts w:ascii="Times New Roman" w:hAnsi="Times New Roman" w:cs="Times New Roman"/>
          <w:sz w:val="24"/>
          <w:szCs w:val="24"/>
        </w:rPr>
        <w:t>Eestist, Lätist, Leedust, Soomest, Rootsist, Ameeri</w:t>
      </w:r>
      <w:r>
        <w:rPr>
          <w:rFonts w:ascii="Times New Roman" w:hAnsi="Times New Roman" w:cs="Times New Roman"/>
          <w:sz w:val="24"/>
          <w:szCs w:val="24"/>
        </w:rPr>
        <w:t xml:space="preserve">ka Ühendriikidest, Itaaliast kui ka </w:t>
      </w:r>
      <w:r w:rsidRPr="008229F9">
        <w:rPr>
          <w:rFonts w:ascii="Times New Roman" w:hAnsi="Times New Roman" w:cs="Times New Roman"/>
          <w:sz w:val="24"/>
          <w:szCs w:val="24"/>
        </w:rPr>
        <w:t>muudest Euroopa riikidest.</w:t>
      </w:r>
      <w:r>
        <w:rPr>
          <w:rFonts w:ascii="Times New Roman" w:hAnsi="Times New Roman" w:cs="Times New Roman"/>
          <w:sz w:val="24"/>
          <w:szCs w:val="24"/>
        </w:rPr>
        <w:t xml:space="preserve"> Sealhulgas suuruselt esimene eksportturg on Läti ning </w:t>
      </w:r>
      <w:proofErr w:type="spellStart"/>
      <w:r>
        <w:rPr>
          <w:rFonts w:ascii="Times New Roman" w:hAnsi="Times New Roman" w:cs="Times New Roman"/>
          <w:sz w:val="24"/>
          <w:szCs w:val="24"/>
        </w:rPr>
        <w:t>Valio</w:t>
      </w:r>
      <w:proofErr w:type="spellEnd"/>
      <w:r>
        <w:rPr>
          <w:rFonts w:ascii="Times New Roman" w:hAnsi="Times New Roman" w:cs="Times New Roman"/>
          <w:sz w:val="24"/>
          <w:szCs w:val="24"/>
        </w:rPr>
        <w:t xml:space="preserve"> on Lätis esikohana eelistatav piim nimega Alma </w:t>
      </w:r>
      <w:proofErr w:type="spellStart"/>
      <w:r>
        <w:rPr>
          <w:rFonts w:ascii="Times New Roman" w:hAnsi="Times New Roman" w:cs="Times New Roman"/>
          <w:sz w:val="24"/>
          <w:szCs w:val="24"/>
        </w:rPr>
        <w:t>Piena</w:t>
      </w:r>
      <w:proofErr w:type="spellEnd"/>
      <w:r>
        <w:rPr>
          <w:rFonts w:ascii="Times New Roman" w:hAnsi="Times New Roman" w:cs="Times New Roman"/>
          <w:sz w:val="24"/>
          <w:szCs w:val="24"/>
        </w:rPr>
        <w:t>.</w:t>
      </w:r>
      <w:r w:rsidRPr="003219B9">
        <w:rPr>
          <w:rFonts w:ascii="Times New Roman" w:hAnsi="Times New Roman" w:cs="Times New Roman"/>
          <w:sz w:val="24"/>
          <w:szCs w:val="24"/>
        </w:rPr>
        <w:t xml:space="preserve"> </w:t>
      </w:r>
      <w:r>
        <w:rPr>
          <w:rFonts w:ascii="Times New Roman" w:hAnsi="Times New Roman" w:cs="Times New Roman"/>
          <w:sz w:val="24"/>
          <w:szCs w:val="24"/>
        </w:rPr>
        <w:t>Tänaseks eksporditakse ettevõttes juustukerasid ligikaudu 150 tonni kuus ning üks kera kaalub 34 kg. Kõige kaugem eksport toimub Kanadasse ning Lõuna-Aafrika vabariiki. Kuid 90 % ladudest asuvad Itaalias (Parma) ,kus toimub toodete otsene müük.</w:t>
      </w:r>
    </w:p>
    <w:p w:rsidR="00E21065" w:rsidRPr="002B6E9A" w:rsidRDefault="00E21065" w:rsidP="007311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29F9">
        <w:rPr>
          <w:rFonts w:ascii="Times New Roman" w:hAnsi="Times New Roman" w:cs="Times New Roman"/>
          <w:sz w:val="24"/>
          <w:szCs w:val="24"/>
        </w:rPr>
        <w:t xml:space="preserve">Eesti turul on </w:t>
      </w:r>
      <w:proofErr w:type="spellStart"/>
      <w:r w:rsidRPr="008229F9">
        <w:rPr>
          <w:rFonts w:ascii="Times New Roman" w:hAnsi="Times New Roman" w:cs="Times New Roman"/>
          <w:sz w:val="24"/>
          <w:szCs w:val="24"/>
        </w:rPr>
        <w:t>Valio</w:t>
      </w:r>
      <w:proofErr w:type="spellEnd"/>
      <w:r w:rsidR="006E272A">
        <w:rPr>
          <w:rFonts w:ascii="Times New Roman" w:hAnsi="Times New Roman" w:cs="Times New Roman"/>
          <w:sz w:val="24"/>
          <w:szCs w:val="24"/>
        </w:rPr>
        <w:t xml:space="preserve"> Eesti AS</w:t>
      </w:r>
      <w:r w:rsidRPr="008229F9">
        <w:rPr>
          <w:rFonts w:ascii="Times New Roman" w:hAnsi="Times New Roman" w:cs="Times New Roman"/>
          <w:sz w:val="24"/>
          <w:szCs w:val="24"/>
        </w:rPr>
        <w:t xml:space="preserve"> esindatud olulisimates piimatoodete kategooriates: piimad, keefirid, koored, jogurtid, kohupiimakreemid,</w:t>
      </w:r>
      <w:r>
        <w:rPr>
          <w:rFonts w:ascii="Times New Roman" w:hAnsi="Times New Roman" w:cs="Times New Roman"/>
          <w:sz w:val="24"/>
          <w:szCs w:val="24"/>
        </w:rPr>
        <w:t xml:space="preserve"> hapupiimad, juustud, rasvad ning </w:t>
      </w:r>
      <w:r w:rsidRPr="008229F9">
        <w:rPr>
          <w:rFonts w:ascii="Times New Roman" w:hAnsi="Times New Roman" w:cs="Times New Roman"/>
          <w:sz w:val="24"/>
          <w:szCs w:val="24"/>
        </w:rPr>
        <w:t>määrded. Eestist väljaspool tegutsetakse peamiselt juustu- aga ka funktsionaalsete ja tervist tugevdavate värskete piimatoodete segmentides</w:t>
      </w:r>
      <w:r>
        <w:rPr>
          <w:rFonts w:ascii="Times New Roman" w:hAnsi="Times New Roman" w:cs="Times New Roman"/>
          <w:sz w:val="24"/>
          <w:szCs w:val="24"/>
        </w:rPr>
        <w:t xml:space="preserve">. Ettevõte varub päevas umbes 600 tonni piima ning Eestis toodetakse umbes 2000 tonni. Kuid </w:t>
      </w:r>
      <w:proofErr w:type="spellStart"/>
      <w:r>
        <w:rPr>
          <w:rFonts w:ascii="Times New Roman" w:hAnsi="Times New Roman" w:cs="Times New Roman"/>
          <w:sz w:val="24"/>
          <w:szCs w:val="24"/>
        </w:rPr>
        <w:t>Valio</w:t>
      </w:r>
      <w:proofErr w:type="spellEnd"/>
      <w:r>
        <w:rPr>
          <w:rFonts w:ascii="Times New Roman" w:hAnsi="Times New Roman" w:cs="Times New Roman"/>
          <w:sz w:val="24"/>
          <w:szCs w:val="24"/>
        </w:rPr>
        <w:t xml:space="preserve"> Eesti AS e-kaubandusega ei tegele, sest puudub usk edu toomisele ettevõttesse, kui hakatakse välja tooma ühte kindlat tooterühma.</w:t>
      </w:r>
      <w:r w:rsidRPr="002B6E9A">
        <w:rPr>
          <w:rFonts w:ascii="Times New Roman" w:hAnsi="Times New Roman" w:cs="Times New Roman"/>
          <w:sz w:val="24"/>
          <w:szCs w:val="24"/>
        </w:rPr>
        <w:t xml:space="preserve"> </w:t>
      </w:r>
    </w:p>
    <w:p w:rsidR="00E21065" w:rsidRDefault="00E21065" w:rsidP="00E21065">
      <w:pPr>
        <w:spacing w:line="360" w:lineRule="auto"/>
        <w:jc w:val="both"/>
        <w:rPr>
          <w:rFonts w:ascii="Times New Roman" w:hAnsi="Times New Roman" w:cs="Times New Roman"/>
          <w:sz w:val="24"/>
          <w:szCs w:val="24"/>
        </w:rPr>
      </w:pPr>
      <w:r w:rsidRPr="009E44BC">
        <w:rPr>
          <w:rFonts w:ascii="Times New Roman" w:hAnsi="Times New Roman" w:cs="Times New Roman"/>
          <w:sz w:val="24"/>
          <w:szCs w:val="24"/>
        </w:rPr>
        <w:t xml:space="preserve">Ettevõtja  seisukoht riigiga suhtlemisel </w:t>
      </w:r>
      <w:r>
        <w:rPr>
          <w:rFonts w:ascii="Times New Roman" w:hAnsi="Times New Roman" w:cs="Times New Roman"/>
          <w:sz w:val="24"/>
          <w:szCs w:val="24"/>
        </w:rPr>
        <w:t>halduskoormuse kohapealt on üldiselt positiivne, sest ettevõtja on eelkõige rahul sellega, et tänapäeval on erinevad registrid elektroonilised ning seeläbi on võimalik mugavalt tegutseda. Kuid ainsaks murekohaks on osutunud Eesti Vabariigi maksusüsteemid, mis võiksid olla ettevõtja sõnul tunduvalt lihtsamad ning loogilisemad. Ehk siis Eestis võiks olla ettevõtja sõnul võimalikult vähe makse ning mida rohkem tuuakse uusi tooteid tur</w:t>
      </w:r>
      <w:r w:rsidR="0073111C">
        <w:rPr>
          <w:rFonts w:ascii="Times New Roman" w:hAnsi="Times New Roman" w:cs="Times New Roman"/>
          <w:sz w:val="24"/>
          <w:szCs w:val="24"/>
        </w:rPr>
        <w:t>ule, seda kriitilisemalt tuleks</w:t>
      </w:r>
      <w:r>
        <w:rPr>
          <w:rFonts w:ascii="Times New Roman" w:hAnsi="Times New Roman" w:cs="Times New Roman"/>
          <w:sz w:val="24"/>
          <w:szCs w:val="24"/>
        </w:rPr>
        <w:t xml:space="preserve"> ka jälgida, et milliste varasemate toodete vastu neid vahetada. Samuti tulu kättesaamiseks ei peaks ettevõtja sõnul nägema nii palju vaeva, sest mida ühetaolisemad on riigiga seotud maksud, seda paremini kasvaks ka ettevõtte edukus.</w:t>
      </w:r>
    </w:p>
    <w:p w:rsidR="00E21065" w:rsidRPr="009D1A6B" w:rsidRDefault="00E21065" w:rsidP="007311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Samuti leiab </w:t>
      </w:r>
      <w:proofErr w:type="spellStart"/>
      <w:r>
        <w:rPr>
          <w:rFonts w:ascii="Times New Roman" w:hAnsi="Times New Roman" w:cs="Times New Roman"/>
          <w:sz w:val="24"/>
          <w:szCs w:val="24"/>
        </w:rPr>
        <w:t>Valio</w:t>
      </w:r>
      <w:proofErr w:type="spellEnd"/>
      <w:r>
        <w:rPr>
          <w:rFonts w:ascii="Times New Roman" w:hAnsi="Times New Roman" w:cs="Times New Roman"/>
          <w:sz w:val="24"/>
          <w:szCs w:val="24"/>
        </w:rPr>
        <w:t xml:space="preserve"> Eesti AS ettevõte, et sisendit tuleks </w:t>
      </w:r>
      <w:r w:rsidR="00A654A4">
        <w:rPr>
          <w:rFonts w:ascii="Times New Roman" w:hAnsi="Times New Roman" w:cs="Times New Roman"/>
          <w:sz w:val="24"/>
          <w:szCs w:val="24"/>
        </w:rPr>
        <w:t xml:space="preserve">anda Eesti Statistikaametile. Oluline oleks, et </w:t>
      </w:r>
      <w:r>
        <w:rPr>
          <w:rFonts w:ascii="Times New Roman" w:hAnsi="Times New Roman" w:cs="Times New Roman"/>
          <w:sz w:val="24"/>
          <w:szCs w:val="24"/>
        </w:rPr>
        <w:t xml:space="preserve"> erinevate statistiliste andmete kättesaamisel ei peaks otsima erinevaid pressiteateid, vaid andmed võiksid olla rohkem dünaamilisemalt hõlmatavad ning kergesti kättesaadavad. Ehk siis mitmeaastaste vanune dünaamika võiks vahelduseks olla muutunud ning avaldatavad tulemused võiksid olla eraldi sektoritena tööandjate jaoks välja toodud. Ehk siis ettevõtja sooviks pigem E-statistikaametis näha enda sektori importi, eksporti, investeeringuid kui ka kulustruktuure ning andmete tõlgendus peaks olema kompaktsem ning kõigile arusaadav. Samuti võiks Statistikaamet teha inventuuri raportite haaval, et need oleksid ikkagi kõigile arusaadavad.</w:t>
      </w:r>
    </w:p>
    <w:p w:rsidR="00E21065" w:rsidRDefault="00E21065" w:rsidP="007311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Andmetöötlusviisidest kasutab </w:t>
      </w:r>
      <w:proofErr w:type="spellStart"/>
      <w:r>
        <w:rPr>
          <w:rFonts w:ascii="Times New Roman" w:hAnsi="Times New Roman" w:cs="Times New Roman"/>
          <w:sz w:val="24"/>
          <w:szCs w:val="24"/>
        </w:rPr>
        <w:t>Valio</w:t>
      </w:r>
      <w:proofErr w:type="spellEnd"/>
      <w:r>
        <w:rPr>
          <w:rFonts w:ascii="Times New Roman" w:hAnsi="Times New Roman" w:cs="Times New Roman"/>
          <w:sz w:val="24"/>
          <w:szCs w:val="24"/>
        </w:rPr>
        <w:t xml:space="preserve"> Eesti Microsoft Dynamics AX ERP süsteemi ( endist Axaptat), mis on ettevõttele juurutatud alates 2006. aastast. Antud programmsüsteemiga on ettevõte väga rahul ning puudub usaldus teiste programmide vastu. Eelkõige ollakse mures, et kuidas kiiruse poole pealt peaksid teised programmid toimima, sest Axapta on kiire ning hästi hõlmatav programm.  </w:t>
      </w:r>
    </w:p>
    <w:p w:rsidR="00051ADF" w:rsidRPr="000455E1" w:rsidRDefault="00051ADF" w:rsidP="007311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Avalike teenuste lõikes </w:t>
      </w:r>
      <w:r w:rsidR="00E21065" w:rsidRPr="000455E1">
        <w:rPr>
          <w:rFonts w:ascii="Times New Roman" w:hAnsi="Times New Roman" w:cs="Times New Roman"/>
          <w:sz w:val="24"/>
          <w:szCs w:val="24"/>
        </w:rPr>
        <w:t>ettevõtte ajakulu</w:t>
      </w:r>
      <w:r>
        <w:rPr>
          <w:rFonts w:ascii="Times New Roman" w:hAnsi="Times New Roman" w:cs="Times New Roman"/>
          <w:sz w:val="24"/>
          <w:szCs w:val="24"/>
        </w:rPr>
        <w:t xml:space="preserve"> </w:t>
      </w:r>
      <w:r w:rsidR="00E21065" w:rsidRPr="000455E1">
        <w:rPr>
          <w:rFonts w:ascii="Times New Roman" w:hAnsi="Times New Roman" w:cs="Times New Roman"/>
          <w:sz w:val="24"/>
          <w:szCs w:val="24"/>
        </w:rPr>
        <w:t>infokohustuste ja tegevuste täitmisega ei ole olnud mahukalt s</w:t>
      </w:r>
      <w:r>
        <w:rPr>
          <w:rFonts w:ascii="Times New Roman" w:hAnsi="Times New Roman" w:cs="Times New Roman"/>
          <w:sz w:val="24"/>
          <w:szCs w:val="24"/>
        </w:rPr>
        <w:t xml:space="preserve">uur, vaid pigem aktsepteeritav. Kuna </w:t>
      </w:r>
      <w:proofErr w:type="spellStart"/>
      <w:r>
        <w:rPr>
          <w:rFonts w:ascii="Times New Roman" w:hAnsi="Times New Roman" w:cs="Times New Roman"/>
          <w:sz w:val="24"/>
          <w:szCs w:val="24"/>
        </w:rPr>
        <w:t>Valio</w:t>
      </w:r>
      <w:proofErr w:type="spellEnd"/>
      <w:r>
        <w:rPr>
          <w:rFonts w:ascii="Times New Roman" w:hAnsi="Times New Roman" w:cs="Times New Roman"/>
          <w:sz w:val="24"/>
          <w:szCs w:val="24"/>
        </w:rPr>
        <w:t xml:space="preserve"> Eesti AS ei avaldanu </w:t>
      </w:r>
      <w:proofErr w:type="spellStart"/>
      <w:r>
        <w:rPr>
          <w:rFonts w:ascii="Times New Roman" w:hAnsi="Times New Roman" w:cs="Times New Roman"/>
          <w:sz w:val="24"/>
          <w:szCs w:val="24"/>
        </w:rPr>
        <w:t>endapoolset</w:t>
      </w:r>
      <w:proofErr w:type="spellEnd"/>
      <w:r>
        <w:rPr>
          <w:rFonts w:ascii="Times New Roman" w:hAnsi="Times New Roman" w:cs="Times New Roman"/>
          <w:sz w:val="24"/>
          <w:szCs w:val="24"/>
        </w:rPr>
        <w:t xml:space="preserve"> tagasisidet seoses Exceli formaadis koostatud teenuste lõikes ajakulu ning hinnangu jaotust, siis intervjuu käigus vähemalt üritati peegeldada ettevõtte seisukohta. E</w:t>
      </w:r>
      <w:r w:rsidR="00E21065" w:rsidRPr="000455E1">
        <w:rPr>
          <w:rFonts w:ascii="Times New Roman" w:hAnsi="Times New Roman" w:cs="Times New Roman"/>
          <w:sz w:val="24"/>
          <w:szCs w:val="24"/>
        </w:rPr>
        <w:t>ttevõtte ja riigi vaheline suhtlus muutunud on võrreldes varasemate aastatega muutunud  lihtsamaks ning erinevaid süsteeme on edendatud aina paremuse poole. Kuid bürokraatia ning halduskoormuse vähendamise osas on ettevõtja rõhutanud, et riik peaks eelkõige suhtlema ettevõtjatega aina rohkem ning hoidma püsivai</w:t>
      </w:r>
      <w:r w:rsidR="00E21065">
        <w:rPr>
          <w:rFonts w:ascii="Times New Roman" w:hAnsi="Times New Roman" w:cs="Times New Roman"/>
          <w:sz w:val="24"/>
          <w:szCs w:val="24"/>
        </w:rPr>
        <w:t xml:space="preserve">d suhtlussidemeid, sest seeläbi on võimalik lahendada paremini ettevõtete murekohti ning leida võimalikult ratsionaalseid lahendusi. Samuti võiks riik rohkem näidata välja </w:t>
      </w:r>
      <w:proofErr w:type="spellStart"/>
      <w:r w:rsidR="00E21065">
        <w:rPr>
          <w:rFonts w:ascii="Times New Roman" w:hAnsi="Times New Roman" w:cs="Times New Roman"/>
          <w:sz w:val="24"/>
          <w:szCs w:val="24"/>
        </w:rPr>
        <w:t>endapoolset</w:t>
      </w:r>
      <w:proofErr w:type="spellEnd"/>
      <w:r w:rsidR="00E21065">
        <w:rPr>
          <w:rFonts w:ascii="Times New Roman" w:hAnsi="Times New Roman" w:cs="Times New Roman"/>
          <w:sz w:val="24"/>
          <w:szCs w:val="24"/>
        </w:rPr>
        <w:t xml:space="preserve"> huvi ettevõtete tegevuste vastu ning suhtlus võiks toimuda rohkem personaalsemalt, m</w:t>
      </w:r>
      <w:r>
        <w:rPr>
          <w:rFonts w:ascii="Times New Roman" w:hAnsi="Times New Roman" w:cs="Times New Roman"/>
          <w:sz w:val="24"/>
          <w:szCs w:val="24"/>
        </w:rPr>
        <w:t xml:space="preserve">itte et läbi kaudsete uuringute. </w:t>
      </w:r>
    </w:p>
    <w:p w:rsidR="0078192E" w:rsidRDefault="00E512C2" w:rsidP="0073111C">
      <w:pPr>
        <w:pStyle w:val="Pealkiri1"/>
      </w:pPr>
      <w:r w:rsidRPr="00E512C2">
        <w:t>KUNDA NORDIC TSEMENT AS</w:t>
      </w:r>
    </w:p>
    <w:p w:rsidR="000E447C" w:rsidRDefault="000E447C" w:rsidP="0073111C">
      <w:pPr>
        <w:spacing w:line="360" w:lineRule="auto"/>
        <w:jc w:val="both"/>
        <w:rPr>
          <w:rFonts w:ascii="Times New Roman" w:hAnsi="Times New Roman" w:cs="Times New Roman"/>
          <w:sz w:val="24"/>
          <w:szCs w:val="24"/>
        </w:rPr>
      </w:pPr>
      <w:r w:rsidRPr="00B92EE7">
        <w:rPr>
          <w:rFonts w:ascii="Times New Roman" w:hAnsi="Times New Roman" w:cs="Times New Roman"/>
          <w:sz w:val="24"/>
          <w:szCs w:val="24"/>
        </w:rPr>
        <w:t xml:space="preserve">Kunda </w:t>
      </w:r>
      <w:proofErr w:type="spellStart"/>
      <w:r w:rsidRPr="00B92EE7">
        <w:rPr>
          <w:rFonts w:ascii="Times New Roman" w:hAnsi="Times New Roman" w:cs="Times New Roman"/>
          <w:sz w:val="24"/>
          <w:szCs w:val="24"/>
        </w:rPr>
        <w:t>Nord</w:t>
      </w:r>
      <w:r w:rsidR="00B45CCA">
        <w:rPr>
          <w:rFonts w:ascii="Times New Roman" w:hAnsi="Times New Roman" w:cs="Times New Roman"/>
          <w:sz w:val="24"/>
          <w:szCs w:val="24"/>
        </w:rPr>
        <w:t>ic</w:t>
      </w:r>
      <w:proofErr w:type="spellEnd"/>
      <w:r w:rsidR="00B45CCA">
        <w:rPr>
          <w:rFonts w:ascii="Times New Roman" w:hAnsi="Times New Roman" w:cs="Times New Roman"/>
          <w:sz w:val="24"/>
          <w:szCs w:val="24"/>
        </w:rPr>
        <w:t xml:space="preserve"> Tsemendi põhitegevusalaks on </w:t>
      </w:r>
      <w:proofErr w:type="spellStart"/>
      <w:r>
        <w:rPr>
          <w:rFonts w:ascii="Times New Roman" w:hAnsi="Times New Roman" w:cs="Times New Roman"/>
          <w:sz w:val="24"/>
          <w:szCs w:val="24"/>
        </w:rPr>
        <w:t>lujbakivi</w:t>
      </w:r>
      <w:proofErr w:type="spellEnd"/>
      <w:r>
        <w:rPr>
          <w:rFonts w:ascii="Times New Roman" w:hAnsi="Times New Roman" w:cs="Times New Roman"/>
          <w:sz w:val="24"/>
          <w:szCs w:val="24"/>
        </w:rPr>
        <w:t xml:space="preserve"> ning erinevat liiki tsemendi tootmine ning müük. </w:t>
      </w:r>
      <w:r w:rsidRPr="00B9487A">
        <w:rPr>
          <w:rFonts w:ascii="Times New Roman" w:hAnsi="Times New Roman" w:cs="Times New Roman"/>
          <w:sz w:val="24"/>
          <w:szCs w:val="24"/>
        </w:rPr>
        <w:t xml:space="preserve">Kunda </w:t>
      </w:r>
      <w:proofErr w:type="spellStart"/>
      <w:r w:rsidRPr="00B9487A">
        <w:rPr>
          <w:rFonts w:ascii="Times New Roman" w:hAnsi="Times New Roman" w:cs="Times New Roman"/>
          <w:sz w:val="24"/>
          <w:szCs w:val="24"/>
        </w:rPr>
        <w:t>Nordic</w:t>
      </w:r>
      <w:proofErr w:type="spellEnd"/>
      <w:r w:rsidRPr="00B9487A">
        <w:rPr>
          <w:rFonts w:ascii="Times New Roman" w:hAnsi="Times New Roman" w:cs="Times New Roman"/>
          <w:sz w:val="24"/>
          <w:szCs w:val="24"/>
        </w:rPr>
        <w:t xml:space="preserve"> Tsement kuulub Saksa kontserni Heidelberg</w:t>
      </w:r>
      <w:r w:rsidR="00B45CCA">
        <w:rPr>
          <w:rFonts w:ascii="Times New Roman" w:hAnsi="Times New Roman" w:cs="Times New Roman"/>
          <w:sz w:val="24"/>
          <w:szCs w:val="24"/>
        </w:rPr>
        <w:t xml:space="preserve"> </w:t>
      </w:r>
      <w:proofErr w:type="spellStart"/>
      <w:r w:rsidRPr="00B9487A">
        <w:rPr>
          <w:rFonts w:ascii="Times New Roman" w:hAnsi="Times New Roman" w:cs="Times New Roman"/>
          <w:sz w:val="24"/>
          <w:szCs w:val="24"/>
        </w:rPr>
        <w:t>Cement</w:t>
      </w:r>
      <w:proofErr w:type="spellEnd"/>
      <w:r w:rsidRPr="00B9487A">
        <w:rPr>
          <w:rFonts w:ascii="Times New Roman" w:hAnsi="Times New Roman" w:cs="Times New Roman"/>
          <w:sz w:val="24"/>
          <w:szCs w:val="24"/>
        </w:rPr>
        <w:t xml:space="preserve"> Group Põhja-Euroopa piirkonda (Heidelberg</w:t>
      </w:r>
      <w:r w:rsidR="00B45CCA">
        <w:rPr>
          <w:rFonts w:ascii="Times New Roman" w:hAnsi="Times New Roman" w:cs="Times New Roman"/>
          <w:sz w:val="24"/>
          <w:szCs w:val="24"/>
        </w:rPr>
        <w:t xml:space="preserve"> </w:t>
      </w:r>
      <w:proofErr w:type="spellStart"/>
      <w:r w:rsidRPr="00B9487A">
        <w:rPr>
          <w:rFonts w:ascii="Times New Roman" w:hAnsi="Times New Roman" w:cs="Times New Roman"/>
          <w:sz w:val="24"/>
          <w:szCs w:val="24"/>
        </w:rPr>
        <w:t>Cement</w:t>
      </w:r>
      <w:proofErr w:type="spellEnd"/>
      <w:r w:rsidRPr="00B9487A">
        <w:rPr>
          <w:rFonts w:ascii="Times New Roman" w:hAnsi="Times New Roman" w:cs="Times New Roman"/>
          <w:sz w:val="24"/>
          <w:szCs w:val="24"/>
        </w:rPr>
        <w:t xml:space="preserve"> </w:t>
      </w:r>
      <w:proofErr w:type="spellStart"/>
      <w:r w:rsidRPr="00B9487A">
        <w:rPr>
          <w:rFonts w:ascii="Times New Roman" w:hAnsi="Times New Roman" w:cs="Times New Roman"/>
          <w:sz w:val="24"/>
          <w:szCs w:val="24"/>
        </w:rPr>
        <w:t>Northern</w:t>
      </w:r>
      <w:proofErr w:type="spellEnd"/>
      <w:r w:rsidRPr="00B9487A">
        <w:rPr>
          <w:rFonts w:ascii="Times New Roman" w:hAnsi="Times New Roman" w:cs="Times New Roman"/>
          <w:sz w:val="24"/>
          <w:szCs w:val="24"/>
        </w:rPr>
        <w:t xml:space="preserve"> </w:t>
      </w:r>
      <w:proofErr w:type="spellStart"/>
      <w:r w:rsidRPr="00B9487A">
        <w:rPr>
          <w:rFonts w:ascii="Times New Roman" w:hAnsi="Times New Roman" w:cs="Times New Roman"/>
          <w:sz w:val="24"/>
          <w:szCs w:val="24"/>
        </w:rPr>
        <w:t>Europe</w:t>
      </w:r>
      <w:proofErr w:type="spellEnd"/>
      <w:r w:rsidRPr="00B9487A">
        <w:rPr>
          <w:rFonts w:ascii="Times New Roman" w:hAnsi="Times New Roman" w:cs="Times New Roman"/>
          <w:sz w:val="24"/>
          <w:szCs w:val="24"/>
        </w:rPr>
        <w:t>). Kontsern on üks juhtivaid ehitusmaterjalide tootjaid maailmas.</w:t>
      </w:r>
      <w:r>
        <w:rPr>
          <w:rFonts w:ascii="Times New Roman" w:hAnsi="Times New Roman" w:cs="Times New Roman"/>
          <w:sz w:val="24"/>
          <w:szCs w:val="24"/>
        </w:rPr>
        <w:t xml:space="preserve"> Ettevõtte peamisteks eksportturgudeks on Soome ja Läti.</w:t>
      </w:r>
      <w:r w:rsidR="000C2EF8">
        <w:rPr>
          <w:rFonts w:ascii="Times New Roman" w:hAnsi="Times New Roman" w:cs="Times New Roman"/>
          <w:sz w:val="24"/>
          <w:szCs w:val="24"/>
        </w:rPr>
        <w:t xml:space="preserve"> </w:t>
      </w:r>
      <w:r>
        <w:rPr>
          <w:rFonts w:ascii="Times New Roman" w:hAnsi="Times New Roman" w:cs="Times New Roman"/>
          <w:sz w:val="24"/>
          <w:szCs w:val="24"/>
        </w:rPr>
        <w:t>Ettevõttel Eesti kapital puudub, sest tegemist on rahvusvahelise konservi firmaga.</w:t>
      </w:r>
      <w:r w:rsidR="000C2EF8">
        <w:rPr>
          <w:rFonts w:ascii="Times New Roman" w:hAnsi="Times New Roman" w:cs="Times New Roman"/>
          <w:sz w:val="24"/>
          <w:szCs w:val="24"/>
        </w:rPr>
        <w:t xml:space="preserve"> </w:t>
      </w:r>
      <w:proofErr w:type="spellStart"/>
      <w:r>
        <w:rPr>
          <w:rFonts w:ascii="Times New Roman" w:hAnsi="Times New Roman" w:cs="Times New Roman"/>
          <w:sz w:val="24"/>
          <w:szCs w:val="24"/>
        </w:rPr>
        <w:t>Välistööjõud</w:t>
      </w:r>
      <w:proofErr w:type="spellEnd"/>
      <w:r>
        <w:rPr>
          <w:rFonts w:ascii="Times New Roman" w:hAnsi="Times New Roman" w:cs="Times New Roman"/>
          <w:sz w:val="24"/>
          <w:szCs w:val="24"/>
        </w:rPr>
        <w:t xml:space="preserve"> ettevõttel Eestis puudub ning töötajaid on kokku 170 inimest. 2018. aasta seisuga oli ettevõtte käive 40,7 miljonit, müügitulu 48,6 miljonit ning eksport 12,3 miljonit. </w:t>
      </w:r>
    </w:p>
    <w:p w:rsidR="00B315F5" w:rsidRDefault="000E447C" w:rsidP="0073111C">
      <w:pPr>
        <w:spacing w:line="360" w:lineRule="auto"/>
        <w:jc w:val="both"/>
        <w:rPr>
          <w:rFonts w:ascii="Times New Roman" w:eastAsia="Times New Roman" w:hAnsi="Times New Roman" w:cs="Times New Roman"/>
          <w:color w:val="000000"/>
          <w:sz w:val="24"/>
          <w:szCs w:val="24"/>
          <w:lang w:eastAsia="et-EE"/>
        </w:rPr>
      </w:pPr>
      <w:r w:rsidRPr="002509EB">
        <w:rPr>
          <w:rFonts w:ascii="Times New Roman" w:hAnsi="Times New Roman" w:cs="Times New Roman"/>
          <w:sz w:val="24"/>
          <w:szCs w:val="24"/>
        </w:rPr>
        <w:t>Ettevõttes on halduskoormus riigiga suhtlemisel suhteliselt suur. Eelkõige moodustab suure koormuse riigiga suhtlemine ning statistika loomine. Kõige suuremaid valukohti tekitab ettevõttes Keskkonnaametiga nin</w:t>
      </w:r>
      <w:r w:rsidR="005E1C68">
        <w:rPr>
          <w:rFonts w:ascii="Times New Roman" w:hAnsi="Times New Roman" w:cs="Times New Roman"/>
          <w:sz w:val="24"/>
          <w:szCs w:val="24"/>
        </w:rPr>
        <w:t>g Statistikaametiga suhtlem</w:t>
      </w:r>
      <w:r w:rsidR="00CE3249">
        <w:rPr>
          <w:rFonts w:ascii="Times New Roman" w:hAnsi="Times New Roman" w:cs="Times New Roman"/>
          <w:sz w:val="24"/>
          <w:szCs w:val="24"/>
        </w:rPr>
        <w:t xml:space="preserve">ine. Seetõttu on Keskkonnaametile ning Statistikaametil </w:t>
      </w:r>
      <w:r w:rsidR="005E1C68">
        <w:rPr>
          <w:rFonts w:ascii="Times New Roman" w:hAnsi="Times New Roman" w:cs="Times New Roman"/>
          <w:sz w:val="24"/>
          <w:szCs w:val="24"/>
        </w:rPr>
        <w:t>andnud ettevõte tagasisidena võrreldes teiste teenustega 1-3 palli skaala</w:t>
      </w:r>
      <w:r w:rsidR="00CE3249">
        <w:rPr>
          <w:rFonts w:ascii="Times New Roman" w:hAnsi="Times New Roman" w:cs="Times New Roman"/>
          <w:sz w:val="24"/>
          <w:szCs w:val="24"/>
        </w:rPr>
        <w:t xml:space="preserve">l kõige madalama rahuloluga hinnangu </w:t>
      </w:r>
      <w:r w:rsidR="00655A66">
        <w:rPr>
          <w:rFonts w:ascii="Times New Roman" w:hAnsi="Times New Roman" w:cs="Times New Roman"/>
          <w:sz w:val="24"/>
          <w:szCs w:val="24"/>
        </w:rPr>
        <w:t xml:space="preserve">(vt joonis </w:t>
      </w:r>
      <w:r w:rsidR="005E1C68">
        <w:rPr>
          <w:rFonts w:ascii="Times New Roman" w:hAnsi="Times New Roman" w:cs="Times New Roman"/>
          <w:sz w:val="24"/>
          <w:szCs w:val="24"/>
        </w:rPr>
        <w:t xml:space="preserve">5). </w:t>
      </w:r>
      <w:r>
        <w:rPr>
          <w:rFonts w:ascii="Times New Roman" w:hAnsi="Times New Roman" w:cs="Times New Roman"/>
          <w:sz w:val="24"/>
          <w:szCs w:val="24"/>
        </w:rPr>
        <w:t>Keskkonnateenuste osas on toodud välja, et a</w:t>
      </w:r>
      <w:r w:rsidRPr="002509EB">
        <w:rPr>
          <w:rFonts w:ascii="Times New Roman" w:eastAsia="Times New Roman" w:hAnsi="Times New Roman" w:cs="Times New Roman"/>
          <w:color w:val="000000"/>
          <w:sz w:val="24"/>
          <w:szCs w:val="24"/>
          <w:lang w:eastAsia="et-EE"/>
        </w:rPr>
        <w:t>ruandekeskkond ei o</w:t>
      </w:r>
      <w:r>
        <w:rPr>
          <w:rFonts w:ascii="Times New Roman" w:eastAsia="Times New Roman" w:hAnsi="Times New Roman" w:cs="Times New Roman"/>
          <w:color w:val="000000"/>
          <w:sz w:val="24"/>
          <w:szCs w:val="24"/>
          <w:lang w:eastAsia="et-EE"/>
        </w:rPr>
        <w:t>le korralikult välja arendatud ning seetõttu toimub ette</w:t>
      </w:r>
      <w:r w:rsidR="00163DE4">
        <w:rPr>
          <w:rFonts w:ascii="Times New Roman" w:eastAsia="Times New Roman" w:hAnsi="Times New Roman" w:cs="Times New Roman"/>
          <w:color w:val="000000"/>
          <w:sz w:val="24"/>
          <w:szCs w:val="24"/>
          <w:lang w:eastAsia="et-EE"/>
        </w:rPr>
        <w:t xml:space="preserve">võtjate peal justkui testimine. </w:t>
      </w:r>
      <w:r>
        <w:rPr>
          <w:rFonts w:ascii="Times New Roman" w:eastAsia="Times New Roman" w:hAnsi="Times New Roman" w:cs="Times New Roman"/>
          <w:color w:val="000000"/>
          <w:sz w:val="24"/>
          <w:szCs w:val="24"/>
          <w:lang w:eastAsia="et-EE"/>
        </w:rPr>
        <w:t xml:space="preserve">Kuid testimine tekitab </w:t>
      </w:r>
      <w:r w:rsidRPr="002509EB">
        <w:rPr>
          <w:rFonts w:ascii="Times New Roman" w:eastAsia="Times New Roman" w:hAnsi="Times New Roman" w:cs="Times New Roman"/>
          <w:color w:val="000000"/>
          <w:sz w:val="24"/>
          <w:szCs w:val="24"/>
          <w:lang w:eastAsia="et-EE"/>
        </w:rPr>
        <w:t xml:space="preserve">mõlemale </w:t>
      </w:r>
      <w:r>
        <w:rPr>
          <w:rFonts w:ascii="Times New Roman" w:eastAsia="Times New Roman" w:hAnsi="Times New Roman" w:cs="Times New Roman"/>
          <w:color w:val="000000"/>
          <w:sz w:val="24"/>
          <w:szCs w:val="24"/>
          <w:lang w:eastAsia="et-EE"/>
        </w:rPr>
        <w:t>osa</w:t>
      </w:r>
      <w:r w:rsidRPr="002509EB">
        <w:rPr>
          <w:rFonts w:ascii="Times New Roman" w:eastAsia="Times New Roman" w:hAnsi="Times New Roman" w:cs="Times New Roman"/>
          <w:color w:val="000000"/>
          <w:sz w:val="24"/>
          <w:szCs w:val="24"/>
          <w:lang w:eastAsia="et-EE"/>
        </w:rPr>
        <w:t>poole</w:t>
      </w:r>
      <w:r>
        <w:rPr>
          <w:rFonts w:ascii="Times New Roman" w:eastAsia="Times New Roman" w:hAnsi="Times New Roman" w:cs="Times New Roman"/>
          <w:color w:val="000000"/>
          <w:sz w:val="24"/>
          <w:szCs w:val="24"/>
          <w:lang w:eastAsia="et-EE"/>
        </w:rPr>
        <w:t>le lisa</w:t>
      </w:r>
      <w:r w:rsidRPr="002509EB">
        <w:rPr>
          <w:rFonts w:ascii="Times New Roman" w:eastAsia="Times New Roman" w:hAnsi="Times New Roman" w:cs="Times New Roman"/>
          <w:color w:val="000000"/>
          <w:sz w:val="24"/>
          <w:szCs w:val="24"/>
          <w:lang w:eastAsia="et-EE"/>
        </w:rPr>
        <w:t xml:space="preserve">tööd ja </w:t>
      </w:r>
      <w:r>
        <w:rPr>
          <w:rFonts w:ascii="Times New Roman" w:eastAsia="Times New Roman" w:hAnsi="Times New Roman" w:cs="Times New Roman"/>
          <w:color w:val="000000"/>
          <w:sz w:val="24"/>
          <w:szCs w:val="24"/>
          <w:lang w:eastAsia="et-EE"/>
        </w:rPr>
        <w:t xml:space="preserve">vaeva. Aastaaruande summatabelite puhul on tekitanud suuri probleeme summeerimine, sest pidevalt </w:t>
      </w:r>
      <w:r w:rsidR="00B45CCA">
        <w:rPr>
          <w:rFonts w:ascii="Times New Roman" w:eastAsia="Times New Roman" w:hAnsi="Times New Roman" w:cs="Times New Roman"/>
          <w:color w:val="000000"/>
          <w:sz w:val="24"/>
          <w:szCs w:val="24"/>
          <w:lang w:eastAsia="et-EE"/>
        </w:rPr>
        <w:t>on tekitanud protsess probleeme. Sealhulgas võiks ettevõtte seisukohalt a</w:t>
      </w:r>
      <w:r w:rsidR="002E4242">
        <w:rPr>
          <w:rFonts w:ascii="Times New Roman" w:eastAsia="Times New Roman" w:hAnsi="Times New Roman" w:cs="Times New Roman"/>
          <w:color w:val="000000"/>
          <w:sz w:val="24"/>
          <w:szCs w:val="24"/>
          <w:lang w:eastAsia="et-EE"/>
        </w:rPr>
        <w:t>a</w:t>
      </w:r>
      <w:r w:rsidRPr="002509EB">
        <w:rPr>
          <w:rFonts w:ascii="Times New Roman" w:eastAsia="Times New Roman" w:hAnsi="Times New Roman" w:cs="Times New Roman"/>
          <w:color w:val="000000"/>
          <w:sz w:val="24"/>
          <w:szCs w:val="24"/>
          <w:lang w:eastAsia="et-EE"/>
        </w:rPr>
        <w:t>staaruanne olla</w:t>
      </w:r>
      <w:r w:rsidR="00B45CCA">
        <w:rPr>
          <w:rFonts w:ascii="Times New Roman" w:eastAsia="Times New Roman" w:hAnsi="Times New Roman" w:cs="Times New Roman"/>
          <w:color w:val="000000"/>
          <w:sz w:val="24"/>
          <w:szCs w:val="24"/>
          <w:lang w:eastAsia="et-EE"/>
        </w:rPr>
        <w:t xml:space="preserve"> kv aruannete põhjal eeltäidetud</w:t>
      </w:r>
      <w:r w:rsidRPr="002509EB">
        <w:rPr>
          <w:rFonts w:ascii="Times New Roman" w:eastAsia="Times New Roman" w:hAnsi="Times New Roman" w:cs="Times New Roman"/>
          <w:color w:val="000000"/>
          <w:sz w:val="24"/>
          <w:szCs w:val="24"/>
          <w:lang w:eastAsia="et-EE"/>
        </w:rPr>
        <w:t>. Ettevõttelt küsitakse</w:t>
      </w:r>
      <w:r>
        <w:rPr>
          <w:rFonts w:ascii="Times New Roman" w:eastAsia="Times New Roman" w:hAnsi="Times New Roman" w:cs="Times New Roman"/>
          <w:color w:val="000000"/>
          <w:sz w:val="24"/>
          <w:szCs w:val="24"/>
          <w:lang w:eastAsia="et-EE"/>
        </w:rPr>
        <w:t xml:space="preserve"> tihtipeale</w:t>
      </w:r>
      <w:r w:rsidRPr="002509EB">
        <w:rPr>
          <w:rFonts w:ascii="Times New Roman" w:eastAsia="Times New Roman" w:hAnsi="Times New Roman" w:cs="Times New Roman"/>
          <w:color w:val="000000"/>
          <w:sz w:val="24"/>
          <w:szCs w:val="24"/>
          <w:lang w:eastAsia="et-EE"/>
        </w:rPr>
        <w:t xml:space="preserve"> andmeid, mis on aastaid tagasi esitatud</w:t>
      </w:r>
      <w:r w:rsidR="00B45CCA">
        <w:rPr>
          <w:rFonts w:ascii="Times New Roman" w:eastAsia="Times New Roman" w:hAnsi="Times New Roman" w:cs="Times New Roman"/>
          <w:color w:val="000000"/>
          <w:sz w:val="24"/>
          <w:szCs w:val="24"/>
          <w:lang w:eastAsia="et-EE"/>
        </w:rPr>
        <w:t xml:space="preserve">. Kui näiteks </w:t>
      </w:r>
      <w:proofErr w:type="spellStart"/>
      <w:r w:rsidR="002C0267">
        <w:rPr>
          <w:rFonts w:ascii="Times New Roman" w:eastAsia="Times New Roman" w:hAnsi="Times New Roman" w:cs="Times New Roman"/>
          <w:color w:val="000000"/>
          <w:sz w:val="24"/>
          <w:szCs w:val="24"/>
          <w:lang w:eastAsia="et-EE"/>
        </w:rPr>
        <w:t>KOTKAse</w:t>
      </w:r>
      <w:r>
        <w:rPr>
          <w:rFonts w:ascii="Times New Roman" w:eastAsia="Times New Roman" w:hAnsi="Times New Roman" w:cs="Times New Roman"/>
          <w:color w:val="000000"/>
          <w:sz w:val="24"/>
          <w:szCs w:val="24"/>
          <w:lang w:eastAsia="et-EE"/>
        </w:rPr>
        <w:t>s</w:t>
      </w:r>
      <w:proofErr w:type="spellEnd"/>
      <w:r>
        <w:rPr>
          <w:rFonts w:ascii="Times New Roman" w:eastAsia="Times New Roman" w:hAnsi="Times New Roman" w:cs="Times New Roman"/>
          <w:color w:val="000000"/>
          <w:sz w:val="24"/>
          <w:szCs w:val="24"/>
          <w:lang w:eastAsia="et-EE"/>
        </w:rPr>
        <w:t xml:space="preserve"> andmed puuduvad, tekitab süsteem koheselt veateate. </w:t>
      </w:r>
      <w:r w:rsidR="00163DE4">
        <w:rPr>
          <w:rFonts w:ascii="Times New Roman" w:eastAsia="Times New Roman" w:hAnsi="Times New Roman" w:cs="Times New Roman"/>
          <w:color w:val="000000"/>
          <w:sz w:val="24"/>
          <w:szCs w:val="24"/>
          <w:lang w:eastAsia="et-EE"/>
        </w:rPr>
        <w:t xml:space="preserve"> Samuti moodustavad Keskkonnateenused ettevõttel kõige suurema halduskoormuse, sest aastas kulub keskeltläbi 596 tundi Keskkonnateenustele (vt joonis 6). </w:t>
      </w:r>
      <w:r>
        <w:rPr>
          <w:rFonts w:ascii="Times New Roman" w:eastAsia="Times New Roman" w:hAnsi="Times New Roman" w:cs="Times New Roman"/>
          <w:color w:val="000000"/>
          <w:sz w:val="24"/>
          <w:szCs w:val="24"/>
          <w:lang w:eastAsia="et-EE"/>
        </w:rPr>
        <w:t>Kõige rohkem ollakse rahul kvartaliaruannetega, sest</w:t>
      </w:r>
      <w:r w:rsidR="00E8139F">
        <w:rPr>
          <w:rFonts w:ascii="Times New Roman" w:eastAsia="Times New Roman" w:hAnsi="Times New Roman" w:cs="Times New Roman"/>
          <w:color w:val="000000"/>
          <w:sz w:val="24"/>
          <w:szCs w:val="24"/>
          <w:lang w:eastAsia="et-EE"/>
        </w:rPr>
        <w:t xml:space="preserve"> need on alati edukalt toimivad.</w:t>
      </w:r>
      <w:r w:rsidR="002E4242">
        <w:rPr>
          <w:rFonts w:ascii="Times New Roman" w:eastAsia="Times New Roman" w:hAnsi="Times New Roman" w:cs="Times New Roman"/>
          <w:color w:val="000000"/>
          <w:sz w:val="24"/>
          <w:szCs w:val="24"/>
          <w:lang w:eastAsia="et-EE"/>
        </w:rPr>
        <w:t xml:space="preserve"> Halduskoormuse mõõtmisel selgus, et kõige suuremat rahulolu on ettevõte kajastanud Äriregistri puhul, mis moodustab ajaku</w:t>
      </w:r>
      <w:r w:rsidR="00D86315">
        <w:rPr>
          <w:rFonts w:ascii="Times New Roman" w:eastAsia="Times New Roman" w:hAnsi="Times New Roman" w:cs="Times New Roman"/>
          <w:color w:val="000000"/>
          <w:sz w:val="24"/>
          <w:szCs w:val="24"/>
          <w:lang w:eastAsia="et-EE"/>
        </w:rPr>
        <w:t>luna aastas ligikaudu 154 tundi (vt joonis 6).</w:t>
      </w:r>
    </w:p>
    <w:p w:rsidR="00B315F5" w:rsidRDefault="00B315F5" w:rsidP="000E447C">
      <w:pPr>
        <w:spacing w:line="360" w:lineRule="auto"/>
        <w:ind w:firstLine="708"/>
        <w:jc w:val="both"/>
        <w:rPr>
          <w:rFonts w:ascii="Times New Roman" w:eastAsia="Times New Roman" w:hAnsi="Times New Roman" w:cs="Times New Roman"/>
          <w:color w:val="000000"/>
          <w:sz w:val="24"/>
          <w:szCs w:val="24"/>
          <w:lang w:eastAsia="et-EE"/>
        </w:rPr>
      </w:pPr>
    </w:p>
    <w:p w:rsidR="0073111C" w:rsidRDefault="0073111C">
      <w:pPr>
        <w:rPr>
          <w:rFonts w:ascii="Times New Roman" w:hAnsi="Times New Roman" w:cs="Times New Roman"/>
          <w:sz w:val="24"/>
          <w:szCs w:val="24"/>
        </w:rPr>
      </w:pPr>
      <w:r>
        <w:rPr>
          <w:rFonts w:ascii="Times New Roman" w:hAnsi="Times New Roman" w:cs="Times New Roman"/>
          <w:sz w:val="24"/>
          <w:szCs w:val="24"/>
        </w:rPr>
        <w:br w:type="page"/>
      </w:r>
    </w:p>
    <w:p w:rsidR="00E512C2" w:rsidRPr="00E512C2" w:rsidRDefault="00C56F43" w:rsidP="00C56F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Joonis 5. Kunda </w:t>
      </w:r>
      <w:proofErr w:type="spellStart"/>
      <w:r>
        <w:rPr>
          <w:rFonts w:ascii="Times New Roman" w:hAnsi="Times New Roman" w:cs="Times New Roman"/>
          <w:sz w:val="24"/>
          <w:szCs w:val="24"/>
        </w:rPr>
        <w:t>Nordic</w:t>
      </w:r>
      <w:proofErr w:type="spellEnd"/>
      <w:r>
        <w:rPr>
          <w:rFonts w:ascii="Times New Roman" w:hAnsi="Times New Roman" w:cs="Times New Roman"/>
          <w:sz w:val="24"/>
          <w:szCs w:val="24"/>
        </w:rPr>
        <w:t xml:space="preserve"> Tsement AS </w:t>
      </w:r>
      <w:r w:rsidRPr="00C66942">
        <w:rPr>
          <w:rFonts w:ascii="Times New Roman" w:hAnsi="Times New Roman" w:cs="Times New Roman"/>
          <w:sz w:val="24"/>
          <w:szCs w:val="24"/>
        </w:rPr>
        <w:t>hinnang 1-3 palli skaalal, kus  1“ väga rahul“ ja 3 „üldse ei ole rahul“</w:t>
      </w:r>
    </w:p>
    <w:p w:rsidR="00B315F5" w:rsidRDefault="00C56F43" w:rsidP="00B315F5">
      <w:pPr>
        <w:spacing w:line="360" w:lineRule="auto"/>
        <w:jc w:val="both"/>
        <w:rPr>
          <w:rFonts w:ascii="Times New Roman" w:hAnsi="Times New Roman" w:cs="Times New Roman"/>
          <w:sz w:val="24"/>
          <w:szCs w:val="24"/>
        </w:rPr>
      </w:pPr>
      <w:r>
        <w:rPr>
          <w:noProof/>
          <w:lang w:eastAsia="et-EE"/>
        </w:rPr>
        <w:drawing>
          <wp:inline distT="0" distB="0" distL="0" distR="0" wp14:anchorId="0A9263B7" wp14:editId="312E7FD6">
            <wp:extent cx="4651513" cy="2623930"/>
            <wp:effectExtent l="0" t="0" r="15875" b="508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15F5" w:rsidRPr="00B315F5" w:rsidRDefault="00B315F5" w:rsidP="00B31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Joonis 6. Kunda </w:t>
      </w:r>
      <w:proofErr w:type="spellStart"/>
      <w:r>
        <w:rPr>
          <w:rFonts w:ascii="Times New Roman" w:hAnsi="Times New Roman" w:cs="Times New Roman"/>
          <w:sz w:val="24"/>
          <w:szCs w:val="24"/>
        </w:rPr>
        <w:t>Nordic</w:t>
      </w:r>
      <w:proofErr w:type="spellEnd"/>
      <w:r>
        <w:rPr>
          <w:rFonts w:ascii="Times New Roman" w:hAnsi="Times New Roman" w:cs="Times New Roman"/>
          <w:sz w:val="24"/>
          <w:szCs w:val="24"/>
        </w:rPr>
        <w:t xml:space="preserve"> Tsement AS </w:t>
      </w:r>
      <w:r w:rsidRPr="00531E4A">
        <w:rPr>
          <w:rFonts w:ascii="Times New Roman" w:hAnsi="Times New Roman" w:cs="Times New Roman"/>
          <w:sz w:val="24"/>
          <w:szCs w:val="24"/>
        </w:rPr>
        <w:t>aastane ajakulu (h) riigiga suhtlemisel</w:t>
      </w:r>
    </w:p>
    <w:p w:rsidR="007C1D72" w:rsidRDefault="00B315F5" w:rsidP="00574368">
      <w:pPr>
        <w:pStyle w:val="Vahedeta"/>
        <w:spacing w:line="360" w:lineRule="auto"/>
        <w:jc w:val="both"/>
        <w:rPr>
          <w:rFonts w:ascii="Times New Roman" w:hAnsi="Times New Roman" w:cs="Times New Roman"/>
          <w:b/>
          <w:sz w:val="24"/>
          <w:szCs w:val="24"/>
        </w:rPr>
      </w:pPr>
      <w:r>
        <w:rPr>
          <w:noProof/>
          <w:lang w:eastAsia="et-EE"/>
        </w:rPr>
        <w:drawing>
          <wp:inline distT="0" distB="0" distL="0" distR="0" wp14:anchorId="65A22B35" wp14:editId="4BC41D58">
            <wp:extent cx="4516341" cy="2695492"/>
            <wp:effectExtent l="0" t="0" r="17780" b="1016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4B0C" w:rsidRDefault="00A34B0C" w:rsidP="00574368">
      <w:pPr>
        <w:pStyle w:val="Vahedeta"/>
        <w:spacing w:line="360" w:lineRule="auto"/>
        <w:jc w:val="both"/>
        <w:rPr>
          <w:rFonts w:ascii="Times New Roman" w:hAnsi="Times New Roman" w:cs="Times New Roman"/>
          <w:b/>
          <w:sz w:val="24"/>
          <w:szCs w:val="24"/>
        </w:rPr>
      </w:pPr>
    </w:p>
    <w:p w:rsidR="00036F9D" w:rsidRDefault="00356493" w:rsidP="0073111C">
      <w:pPr>
        <w:pStyle w:val="Pealkiri1"/>
      </w:pPr>
      <w:r>
        <w:t>RUUT EHITUSE OÜ</w:t>
      </w:r>
    </w:p>
    <w:p w:rsidR="000124D5" w:rsidRDefault="00D0298D" w:rsidP="0073111C">
      <w:pPr>
        <w:spacing w:line="360" w:lineRule="auto"/>
        <w:jc w:val="both"/>
        <w:rPr>
          <w:rFonts w:ascii="Arial" w:hAnsi="Arial" w:cs="Arial"/>
        </w:rPr>
      </w:pPr>
      <w:r w:rsidRPr="002359DC">
        <w:rPr>
          <w:rFonts w:ascii="Times New Roman" w:hAnsi="Times New Roman" w:cs="Times New Roman"/>
          <w:sz w:val="24"/>
          <w:szCs w:val="24"/>
        </w:rPr>
        <w:t xml:space="preserve">Ruut Ehituse OÜ ehitusettevõte on loodud Eesti erakapitalil 2003. aastal. Ettevõtte põhitegevusalaks on ehitus ja remonditööd. </w:t>
      </w:r>
      <w:r w:rsidR="00FF33A2" w:rsidRPr="002359DC">
        <w:rPr>
          <w:rFonts w:ascii="Times New Roman" w:hAnsi="Times New Roman" w:cs="Times New Roman"/>
          <w:sz w:val="24"/>
          <w:szCs w:val="24"/>
        </w:rPr>
        <w:t>Ehitustöid on ettevõtte te</w:t>
      </w:r>
      <w:r w:rsidR="00173737">
        <w:rPr>
          <w:rFonts w:ascii="Times New Roman" w:hAnsi="Times New Roman" w:cs="Times New Roman"/>
          <w:sz w:val="24"/>
          <w:szCs w:val="24"/>
        </w:rPr>
        <w:t>o</w:t>
      </w:r>
      <w:r w:rsidR="00FF33A2" w:rsidRPr="002359DC">
        <w:rPr>
          <w:rFonts w:ascii="Times New Roman" w:hAnsi="Times New Roman" w:cs="Times New Roman"/>
          <w:sz w:val="24"/>
          <w:szCs w:val="24"/>
        </w:rPr>
        <w:t xml:space="preserve">stanud nii Eestis kui ka väljaspool Eestit. Põhilisteks klientideks on era- ja </w:t>
      </w:r>
      <w:r w:rsidR="00A71BEF" w:rsidRPr="002359DC">
        <w:rPr>
          <w:rFonts w:ascii="Times New Roman" w:hAnsi="Times New Roman" w:cs="Times New Roman"/>
          <w:sz w:val="24"/>
          <w:szCs w:val="24"/>
        </w:rPr>
        <w:t>ärikliendid ning riigiasutused. Ruut Ehituse OÜ ettevõttes on töötaj</w:t>
      </w:r>
      <w:r w:rsidR="002359DC">
        <w:rPr>
          <w:rFonts w:ascii="Times New Roman" w:hAnsi="Times New Roman" w:cs="Times New Roman"/>
          <w:sz w:val="24"/>
          <w:szCs w:val="24"/>
        </w:rPr>
        <w:t xml:space="preserve">aid kokku ligikaudu 10 inimest. </w:t>
      </w:r>
      <w:r w:rsidR="00173737">
        <w:rPr>
          <w:rFonts w:ascii="Times New Roman" w:hAnsi="Times New Roman" w:cs="Times New Roman"/>
          <w:sz w:val="24"/>
          <w:szCs w:val="24"/>
        </w:rPr>
        <w:t xml:space="preserve">Ettevõtte müügitulu </w:t>
      </w:r>
      <w:r w:rsidR="002359DC" w:rsidRPr="002359DC">
        <w:rPr>
          <w:rFonts w:ascii="Times New Roman" w:hAnsi="Times New Roman" w:cs="Times New Roman"/>
          <w:sz w:val="24"/>
          <w:szCs w:val="24"/>
        </w:rPr>
        <w:t>oli</w:t>
      </w:r>
      <w:r w:rsidR="002359DC">
        <w:rPr>
          <w:rFonts w:ascii="Times New Roman" w:hAnsi="Times New Roman" w:cs="Times New Roman"/>
          <w:sz w:val="24"/>
          <w:szCs w:val="24"/>
        </w:rPr>
        <w:t xml:space="preserve"> 2018. aasta seisuga 1 765 681 eurot ning kasum </w:t>
      </w:r>
      <w:r w:rsidR="002359DC" w:rsidRPr="002359DC">
        <w:rPr>
          <w:rFonts w:ascii="Times New Roman" w:hAnsi="Times New Roman" w:cs="Times New Roman"/>
          <w:sz w:val="24"/>
          <w:szCs w:val="24"/>
        </w:rPr>
        <w:t>173 828 eurot.</w:t>
      </w:r>
      <w:r w:rsidR="00B07F5B">
        <w:rPr>
          <w:rFonts w:ascii="Times New Roman" w:hAnsi="Times New Roman" w:cs="Times New Roman"/>
          <w:sz w:val="24"/>
          <w:szCs w:val="24"/>
        </w:rPr>
        <w:t xml:space="preserve"> </w:t>
      </w:r>
      <w:r w:rsidR="000124D5" w:rsidRPr="00B07F5B">
        <w:rPr>
          <w:rFonts w:ascii="Times New Roman" w:hAnsi="Times New Roman" w:cs="Times New Roman"/>
          <w:sz w:val="24"/>
          <w:szCs w:val="24"/>
        </w:rPr>
        <w:t>Ettevõttes kasutatav</w:t>
      </w:r>
      <w:r w:rsidR="00B07F5B" w:rsidRPr="00B07F5B">
        <w:rPr>
          <w:rFonts w:ascii="Times New Roman" w:hAnsi="Times New Roman" w:cs="Times New Roman"/>
          <w:sz w:val="24"/>
          <w:szCs w:val="24"/>
        </w:rPr>
        <w:t xml:space="preserve">aks raamatupidamise </w:t>
      </w:r>
      <w:r w:rsidR="000124D5" w:rsidRPr="00B07F5B">
        <w:rPr>
          <w:rFonts w:ascii="Times New Roman" w:hAnsi="Times New Roman" w:cs="Times New Roman"/>
          <w:sz w:val="24"/>
          <w:szCs w:val="24"/>
        </w:rPr>
        <w:t>tarkvara</w:t>
      </w:r>
      <w:r w:rsidR="00B07F5B" w:rsidRPr="00B07F5B">
        <w:rPr>
          <w:rFonts w:ascii="Times New Roman" w:hAnsi="Times New Roman" w:cs="Times New Roman"/>
          <w:sz w:val="24"/>
          <w:szCs w:val="24"/>
        </w:rPr>
        <w:t>ks on</w:t>
      </w:r>
      <w:r w:rsidR="000124D5" w:rsidRPr="00B07F5B">
        <w:rPr>
          <w:rFonts w:ascii="Times New Roman" w:hAnsi="Times New Roman" w:cs="Times New Roman"/>
          <w:sz w:val="24"/>
          <w:szCs w:val="24"/>
        </w:rPr>
        <w:t xml:space="preserve"> „VERP“</w:t>
      </w:r>
      <w:r w:rsidR="00B07F5B" w:rsidRPr="00B07F5B">
        <w:rPr>
          <w:rFonts w:ascii="Times New Roman" w:hAnsi="Times New Roman" w:cs="Times New Roman"/>
          <w:sz w:val="24"/>
          <w:szCs w:val="24"/>
        </w:rPr>
        <w:t>, mis</w:t>
      </w:r>
      <w:r w:rsidR="000124D5" w:rsidRPr="00B07F5B">
        <w:rPr>
          <w:rFonts w:ascii="Times New Roman" w:hAnsi="Times New Roman" w:cs="Times New Roman"/>
          <w:sz w:val="24"/>
          <w:szCs w:val="24"/>
        </w:rPr>
        <w:t xml:space="preserve"> võimaldab teha TSD koos lisadega ja KMT koos lisadega failina ja importida maksuametisse.</w:t>
      </w:r>
      <w:r w:rsidR="00B07F5B" w:rsidRPr="00B07F5B">
        <w:rPr>
          <w:rFonts w:ascii="Times New Roman" w:hAnsi="Times New Roman" w:cs="Times New Roman"/>
          <w:sz w:val="24"/>
          <w:szCs w:val="24"/>
        </w:rPr>
        <w:t xml:space="preserve"> Sealhulgas võtab  esitamine suhteliselt vähe aega.</w:t>
      </w:r>
      <w:r w:rsidR="00173737">
        <w:rPr>
          <w:rFonts w:ascii="Times New Roman" w:hAnsi="Times New Roman" w:cs="Times New Roman"/>
          <w:sz w:val="24"/>
          <w:szCs w:val="24"/>
        </w:rPr>
        <w:t xml:space="preserve"> Ainult vahel võib Aega kuluda</w:t>
      </w:r>
      <w:r w:rsidR="000124D5" w:rsidRPr="00863415">
        <w:rPr>
          <w:rFonts w:ascii="Times New Roman" w:hAnsi="Times New Roman" w:cs="Times New Roman"/>
          <w:sz w:val="24"/>
          <w:szCs w:val="24"/>
        </w:rPr>
        <w:t xml:space="preserve"> andmete kontrollimisele j</w:t>
      </w:r>
      <w:r w:rsidR="00173737">
        <w:rPr>
          <w:rFonts w:ascii="Times New Roman" w:hAnsi="Times New Roman" w:cs="Times New Roman"/>
          <w:sz w:val="24"/>
          <w:szCs w:val="24"/>
        </w:rPr>
        <w:t xml:space="preserve">a programmi seadistamisele, </w:t>
      </w:r>
      <w:r w:rsidR="000124D5" w:rsidRPr="00863415">
        <w:rPr>
          <w:rFonts w:ascii="Times New Roman" w:hAnsi="Times New Roman" w:cs="Times New Roman"/>
          <w:sz w:val="24"/>
          <w:szCs w:val="24"/>
        </w:rPr>
        <w:t>kui on tegemist seaduse muudatustega ja uute nõudmistega</w:t>
      </w:r>
      <w:r w:rsidR="000124D5">
        <w:rPr>
          <w:rFonts w:ascii="Arial" w:hAnsi="Arial" w:cs="Arial"/>
        </w:rPr>
        <w:t xml:space="preserve">. </w:t>
      </w:r>
    </w:p>
    <w:p w:rsidR="00541983" w:rsidRPr="002359DC" w:rsidRDefault="00173737" w:rsidP="0073111C">
      <w:pPr>
        <w:spacing w:line="360" w:lineRule="auto"/>
        <w:jc w:val="both"/>
        <w:rPr>
          <w:rFonts w:ascii="Times New Roman" w:hAnsi="Times New Roman" w:cs="Times New Roman"/>
          <w:sz w:val="24"/>
          <w:szCs w:val="24"/>
        </w:rPr>
      </w:pPr>
      <w:r w:rsidRPr="00F1402D">
        <w:rPr>
          <w:rFonts w:ascii="Times New Roman" w:hAnsi="Times New Roman" w:cs="Times New Roman"/>
          <w:sz w:val="24"/>
          <w:szCs w:val="24"/>
        </w:rPr>
        <w:t>Halduskoormuse mõõtmise seisukohalt on välja toodud, et kõige suurema ajakulu moodustab Äriregistri aruannete esitamine. Äriregistri a</w:t>
      </w:r>
      <w:r w:rsidR="00F1402D" w:rsidRPr="00F1402D">
        <w:rPr>
          <w:rFonts w:ascii="Times New Roman" w:hAnsi="Times New Roman" w:cs="Times New Roman"/>
          <w:sz w:val="24"/>
          <w:szCs w:val="24"/>
        </w:rPr>
        <w:t xml:space="preserve">ruande esitamisele on alati kulunud </w:t>
      </w:r>
      <w:r w:rsidRPr="00F1402D">
        <w:rPr>
          <w:rFonts w:ascii="Times New Roman" w:hAnsi="Times New Roman" w:cs="Times New Roman"/>
          <w:sz w:val="24"/>
          <w:szCs w:val="24"/>
        </w:rPr>
        <w:t>päris palju aega, sest seda ettevõtt</w:t>
      </w:r>
      <w:r w:rsidR="00F1402D" w:rsidRPr="00F1402D">
        <w:rPr>
          <w:rFonts w:ascii="Times New Roman" w:hAnsi="Times New Roman" w:cs="Times New Roman"/>
          <w:sz w:val="24"/>
          <w:szCs w:val="24"/>
        </w:rPr>
        <w:t>e</w:t>
      </w:r>
      <w:r w:rsidRPr="00F1402D">
        <w:rPr>
          <w:rFonts w:ascii="Times New Roman" w:hAnsi="Times New Roman" w:cs="Times New Roman"/>
          <w:sz w:val="24"/>
          <w:szCs w:val="24"/>
        </w:rPr>
        <w:t xml:space="preserve"> programm failina importida ei võimalda. </w:t>
      </w:r>
      <w:r w:rsidR="0055552A">
        <w:rPr>
          <w:rFonts w:ascii="Times New Roman" w:hAnsi="Times New Roman" w:cs="Times New Roman"/>
          <w:sz w:val="24"/>
          <w:szCs w:val="24"/>
        </w:rPr>
        <w:t xml:space="preserve"> Sellest tulenevalt võrreldes teiste teenustega on ettevõte avaldanud tagasisidena 1-3 palli rahulolu skaalal 3 palli, </w:t>
      </w:r>
      <w:r w:rsidR="00D719ED">
        <w:rPr>
          <w:rFonts w:ascii="Times New Roman" w:hAnsi="Times New Roman" w:cs="Times New Roman"/>
          <w:sz w:val="24"/>
          <w:szCs w:val="24"/>
        </w:rPr>
        <w:t xml:space="preserve">mis tähendab mitte rahulolu (vt joonis </w:t>
      </w:r>
      <w:r w:rsidR="00E31419">
        <w:rPr>
          <w:rFonts w:ascii="Times New Roman" w:hAnsi="Times New Roman" w:cs="Times New Roman"/>
          <w:sz w:val="24"/>
          <w:szCs w:val="24"/>
        </w:rPr>
        <w:t xml:space="preserve">7). </w:t>
      </w:r>
      <w:r w:rsidR="00EF640C">
        <w:rPr>
          <w:rFonts w:ascii="Times New Roman" w:hAnsi="Times New Roman" w:cs="Times New Roman"/>
          <w:sz w:val="24"/>
          <w:szCs w:val="24"/>
        </w:rPr>
        <w:t>Sealhulgas on tekitanud rahulolematust</w:t>
      </w:r>
      <w:r w:rsidR="0055552A">
        <w:rPr>
          <w:rFonts w:ascii="Times New Roman" w:hAnsi="Times New Roman" w:cs="Times New Roman"/>
          <w:sz w:val="24"/>
          <w:szCs w:val="24"/>
        </w:rPr>
        <w:t xml:space="preserve"> Statistikaametig</w:t>
      </w:r>
      <w:r w:rsidR="00E31419">
        <w:rPr>
          <w:rFonts w:ascii="Times New Roman" w:hAnsi="Times New Roman" w:cs="Times New Roman"/>
          <w:sz w:val="24"/>
          <w:szCs w:val="24"/>
        </w:rPr>
        <w:t>a</w:t>
      </w:r>
      <w:r w:rsidR="0055552A">
        <w:rPr>
          <w:rFonts w:ascii="Times New Roman" w:hAnsi="Times New Roman" w:cs="Times New Roman"/>
          <w:sz w:val="24"/>
          <w:szCs w:val="24"/>
        </w:rPr>
        <w:t xml:space="preserve"> suhtlemine. </w:t>
      </w:r>
      <w:r w:rsidR="000124D5" w:rsidRPr="008A29DB">
        <w:rPr>
          <w:rFonts w:ascii="Times New Roman" w:hAnsi="Times New Roman" w:cs="Times New Roman"/>
          <w:sz w:val="24"/>
          <w:szCs w:val="24"/>
        </w:rPr>
        <w:t>Sta</w:t>
      </w:r>
      <w:r w:rsidR="00071681" w:rsidRPr="008A29DB">
        <w:rPr>
          <w:rFonts w:ascii="Times New Roman" w:hAnsi="Times New Roman" w:cs="Times New Roman"/>
          <w:sz w:val="24"/>
          <w:szCs w:val="24"/>
        </w:rPr>
        <w:t>tistika aruannete esitamise puhul on ettevõte toonud välja, et tihtipeale on aruanded suhteliselt mahukad ning tul</w:t>
      </w:r>
      <w:r w:rsidR="008A29DB" w:rsidRPr="008A29DB">
        <w:rPr>
          <w:rFonts w:ascii="Times New Roman" w:hAnsi="Times New Roman" w:cs="Times New Roman"/>
          <w:sz w:val="24"/>
          <w:szCs w:val="24"/>
        </w:rPr>
        <w:t>emustest teavitamine ebaselge.</w:t>
      </w:r>
      <w:r w:rsidR="0055552A">
        <w:rPr>
          <w:rFonts w:ascii="Times New Roman" w:hAnsi="Times New Roman" w:cs="Times New Roman"/>
          <w:sz w:val="24"/>
          <w:szCs w:val="24"/>
        </w:rPr>
        <w:t xml:space="preserve"> Seetõttu leiab ettevõte, et Statistikaamet peaks kindlasti edaspidiselt suutma enda tegevust edendada vastavalt sellisest, et ettevõtted ei peaks jääma ootama </w:t>
      </w:r>
      <w:proofErr w:type="spellStart"/>
      <w:r w:rsidR="0055552A">
        <w:rPr>
          <w:rFonts w:ascii="Times New Roman" w:hAnsi="Times New Roman" w:cs="Times New Roman"/>
          <w:sz w:val="24"/>
          <w:szCs w:val="24"/>
        </w:rPr>
        <w:t>endapoolt</w:t>
      </w:r>
      <w:proofErr w:type="spellEnd"/>
      <w:r w:rsidR="0055552A">
        <w:rPr>
          <w:rFonts w:ascii="Times New Roman" w:hAnsi="Times New Roman" w:cs="Times New Roman"/>
          <w:sz w:val="24"/>
          <w:szCs w:val="24"/>
        </w:rPr>
        <w:t xml:space="preserve"> avaldatud tagasiside tulemusi lõpmatuseni.</w:t>
      </w:r>
      <w:r w:rsidR="007A7D5D">
        <w:rPr>
          <w:rFonts w:ascii="Times New Roman" w:hAnsi="Times New Roman" w:cs="Times New Roman"/>
          <w:sz w:val="24"/>
          <w:szCs w:val="24"/>
        </w:rPr>
        <w:t xml:space="preserve"> </w:t>
      </w:r>
      <w:r w:rsidR="00541983">
        <w:rPr>
          <w:rFonts w:ascii="Times New Roman" w:hAnsi="Times New Roman" w:cs="Times New Roman"/>
          <w:sz w:val="24"/>
          <w:szCs w:val="24"/>
        </w:rPr>
        <w:t>Analüüsides ajakulu teenuste lõikes selgub, et kõige suurema ajakulu v</w:t>
      </w:r>
      <w:r w:rsidR="00CD66CE">
        <w:rPr>
          <w:rFonts w:ascii="Times New Roman" w:hAnsi="Times New Roman" w:cs="Times New Roman"/>
          <w:sz w:val="24"/>
          <w:szCs w:val="24"/>
        </w:rPr>
        <w:t xml:space="preserve">õtavad Statistikaamet ning </w:t>
      </w:r>
      <w:r w:rsidR="00541983">
        <w:rPr>
          <w:rFonts w:ascii="Times New Roman" w:hAnsi="Times New Roman" w:cs="Times New Roman"/>
          <w:sz w:val="24"/>
          <w:szCs w:val="24"/>
        </w:rPr>
        <w:t>Maksu- ja Tolliamet (vt joonis 8).</w:t>
      </w:r>
      <w:r w:rsidR="00C67E36">
        <w:rPr>
          <w:rFonts w:ascii="Times New Roman" w:hAnsi="Times New Roman" w:cs="Times New Roman"/>
          <w:sz w:val="24"/>
          <w:szCs w:val="24"/>
        </w:rPr>
        <w:t xml:space="preserve"> Kõige väiksema ajakuluga on Äriregister.</w:t>
      </w:r>
    </w:p>
    <w:p w:rsidR="0073111C" w:rsidRDefault="0073111C" w:rsidP="009E4209">
      <w:pPr>
        <w:spacing w:line="360" w:lineRule="auto"/>
        <w:jc w:val="both"/>
        <w:rPr>
          <w:rFonts w:ascii="Times New Roman" w:hAnsi="Times New Roman" w:cs="Times New Roman"/>
          <w:sz w:val="24"/>
          <w:szCs w:val="24"/>
        </w:rPr>
      </w:pPr>
    </w:p>
    <w:p w:rsidR="00ED5E9D" w:rsidRDefault="00ED5E9D" w:rsidP="009E42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Joonis 7. </w:t>
      </w:r>
      <w:r w:rsidR="009E4209">
        <w:rPr>
          <w:rFonts w:ascii="Times New Roman" w:hAnsi="Times New Roman" w:cs="Times New Roman"/>
          <w:sz w:val="24"/>
          <w:szCs w:val="24"/>
        </w:rPr>
        <w:t xml:space="preserve">Ruut Ehituse OÜ </w:t>
      </w:r>
      <w:r w:rsidR="009E4209" w:rsidRPr="00C66942">
        <w:rPr>
          <w:rFonts w:ascii="Times New Roman" w:hAnsi="Times New Roman" w:cs="Times New Roman"/>
          <w:sz w:val="24"/>
          <w:szCs w:val="24"/>
        </w:rPr>
        <w:t>hinnang 1-3 palli skaalal, kus  1“ väga rahul“ ja 3 „üldse ei ole rahul“</w:t>
      </w:r>
    </w:p>
    <w:p w:rsidR="00FF33A2" w:rsidRPr="00357AB2" w:rsidRDefault="00ED5E9D" w:rsidP="00ED5E9D">
      <w:pPr>
        <w:spacing w:line="360" w:lineRule="auto"/>
        <w:rPr>
          <w:rFonts w:ascii="Times New Roman" w:hAnsi="Times New Roman" w:cs="Times New Roman"/>
          <w:i/>
          <w:sz w:val="24"/>
          <w:szCs w:val="24"/>
        </w:rPr>
      </w:pPr>
      <w:r>
        <w:rPr>
          <w:noProof/>
          <w:lang w:eastAsia="et-EE"/>
        </w:rPr>
        <w:drawing>
          <wp:inline distT="0" distB="0" distL="0" distR="0" wp14:anchorId="11D90C02" wp14:editId="11399265">
            <wp:extent cx="4572000" cy="2743200"/>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6493" w:rsidRDefault="00356493" w:rsidP="00357AB2">
      <w:pPr>
        <w:pStyle w:val="Vahedeta"/>
        <w:spacing w:line="360" w:lineRule="auto"/>
        <w:jc w:val="both"/>
        <w:rPr>
          <w:rFonts w:ascii="Times New Roman" w:hAnsi="Times New Roman" w:cs="Times New Roman"/>
          <w:sz w:val="24"/>
          <w:szCs w:val="24"/>
        </w:rPr>
      </w:pPr>
    </w:p>
    <w:p w:rsidR="003E7DB3" w:rsidRDefault="003E7DB3" w:rsidP="00357AB2">
      <w:pPr>
        <w:pStyle w:val="Vahedeta"/>
        <w:spacing w:line="360" w:lineRule="auto"/>
        <w:jc w:val="both"/>
        <w:rPr>
          <w:rFonts w:ascii="Times New Roman" w:hAnsi="Times New Roman" w:cs="Times New Roman"/>
          <w:sz w:val="24"/>
          <w:szCs w:val="24"/>
        </w:rPr>
      </w:pPr>
    </w:p>
    <w:p w:rsidR="0073111C" w:rsidRDefault="0073111C">
      <w:pPr>
        <w:rPr>
          <w:rFonts w:ascii="Times New Roman" w:hAnsi="Times New Roman" w:cs="Times New Roman"/>
          <w:sz w:val="24"/>
          <w:szCs w:val="24"/>
        </w:rPr>
      </w:pPr>
      <w:r>
        <w:rPr>
          <w:rFonts w:ascii="Times New Roman" w:hAnsi="Times New Roman" w:cs="Times New Roman"/>
          <w:sz w:val="24"/>
          <w:szCs w:val="24"/>
        </w:rPr>
        <w:br w:type="page"/>
      </w:r>
    </w:p>
    <w:p w:rsidR="00A34B0C" w:rsidRPr="007E5CD8" w:rsidRDefault="008D0238" w:rsidP="007E5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Joonis 8. Ruut Ehituse OÜ </w:t>
      </w:r>
      <w:r w:rsidRPr="00531E4A">
        <w:rPr>
          <w:rFonts w:ascii="Times New Roman" w:hAnsi="Times New Roman" w:cs="Times New Roman"/>
          <w:sz w:val="24"/>
          <w:szCs w:val="24"/>
        </w:rPr>
        <w:t>aastane ajakulu (h) riigiga suhtlemisel</w:t>
      </w:r>
    </w:p>
    <w:p w:rsidR="00A34B0C" w:rsidRDefault="008D0238" w:rsidP="00574368">
      <w:pPr>
        <w:pStyle w:val="Vahedeta"/>
        <w:spacing w:line="360" w:lineRule="auto"/>
        <w:jc w:val="both"/>
        <w:rPr>
          <w:rFonts w:ascii="Times New Roman" w:hAnsi="Times New Roman" w:cs="Times New Roman"/>
          <w:b/>
          <w:sz w:val="24"/>
          <w:szCs w:val="24"/>
        </w:rPr>
      </w:pPr>
      <w:r>
        <w:rPr>
          <w:noProof/>
          <w:lang w:eastAsia="et-EE"/>
        </w:rPr>
        <w:drawing>
          <wp:inline distT="0" distB="0" distL="0" distR="0" wp14:anchorId="61BBA503" wp14:editId="4A9A8C4D">
            <wp:extent cx="4376435" cy="2468352"/>
            <wp:effectExtent l="0" t="0" r="5080" b="8255"/>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4B0C" w:rsidRDefault="00A34B0C" w:rsidP="00574368">
      <w:pPr>
        <w:pStyle w:val="Vahedeta"/>
        <w:spacing w:line="360" w:lineRule="auto"/>
        <w:jc w:val="both"/>
        <w:rPr>
          <w:rFonts w:ascii="Times New Roman" w:hAnsi="Times New Roman" w:cs="Times New Roman"/>
          <w:b/>
          <w:sz w:val="24"/>
          <w:szCs w:val="24"/>
        </w:rPr>
      </w:pPr>
    </w:p>
    <w:p w:rsidR="00E056BC" w:rsidRDefault="00E056BC" w:rsidP="00574368">
      <w:pPr>
        <w:pStyle w:val="Vahedeta"/>
        <w:spacing w:line="360" w:lineRule="auto"/>
        <w:jc w:val="both"/>
        <w:rPr>
          <w:rFonts w:ascii="Times New Roman" w:hAnsi="Times New Roman" w:cs="Times New Roman"/>
          <w:b/>
          <w:sz w:val="24"/>
          <w:szCs w:val="24"/>
        </w:rPr>
      </w:pPr>
    </w:p>
    <w:p w:rsidR="0071280C" w:rsidRDefault="0071280C" w:rsidP="0073111C">
      <w:pPr>
        <w:pStyle w:val="Pealkiri1"/>
      </w:pPr>
      <w:r>
        <w:t>ETTEPANEKUD</w:t>
      </w:r>
    </w:p>
    <w:p w:rsidR="00AB5F06" w:rsidRDefault="00CF1289" w:rsidP="0073111C">
      <w:pPr>
        <w:pStyle w:val="Vahedeta"/>
        <w:spacing w:line="360" w:lineRule="auto"/>
        <w:ind w:firstLine="708"/>
        <w:jc w:val="both"/>
        <w:rPr>
          <w:rFonts w:ascii="Times New Roman" w:hAnsi="Times New Roman" w:cs="Times New Roman"/>
          <w:sz w:val="24"/>
          <w:szCs w:val="24"/>
        </w:rPr>
      </w:pPr>
      <w:r w:rsidRPr="00A415AF">
        <w:rPr>
          <w:rFonts w:ascii="Times New Roman" w:hAnsi="Times New Roman" w:cs="Times New Roman"/>
          <w:sz w:val="24"/>
          <w:szCs w:val="24"/>
        </w:rPr>
        <w:t>Halduskoormuse mõõtmises osalenud ettevõtted on aidanud peegeldada süstemaatiliselt konkreetse kasutajagrupi jaoks kõige suuremaid valukohti tekitavaid nõudeid.</w:t>
      </w:r>
      <w:r w:rsidR="00AB5F06" w:rsidRPr="00AB5F06">
        <w:rPr>
          <w:rFonts w:ascii="Times New Roman" w:hAnsi="Times New Roman" w:cs="Times New Roman"/>
          <w:sz w:val="24"/>
          <w:szCs w:val="24"/>
        </w:rPr>
        <w:t xml:space="preserve"> </w:t>
      </w:r>
      <w:r w:rsidR="00AB5F06">
        <w:rPr>
          <w:rFonts w:ascii="Times New Roman" w:hAnsi="Times New Roman" w:cs="Times New Roman"/>
          <w:sz w:val="24"/>
          <w:szCs w:val="24"/>
        </w:rPr>
        <w:t>Halduskoormuse mõõtmise seisukohalt on välja kujunenud konkreetsed teenused ning nendega seotud probleemid, millega on oluline ka edaspidiselt tegeleda. Saadud tagasiside pinnalt on võimalik anda ettevõtete poolne seisukoht ning hinnang seoses halduskoormusega.</w:t>
      </w:r>
    </w:p>
    <w:p w:rsidR="00CF1289" w:rsidRDefault="00CF1289" w:rsidP="00C002CB">
      <w:pPr>
        <w:pStyle w:val="Vahedeta"/>
        <w:spacing w:line="360" w:lineRule="auto"/>
        <w:ind w:firstLine="708"/>
        <w:jc w:val="both"/>
        <w:rPr>
          <w:rFonts w:ascii="Times New Roman" w:eastAsia="Times New Roman" w:hAnsi="Times New Roman" w:cs="Times New Roman"/>
          <w:color w:val="000000"/>
          <w:sz w:val="24"/>
          <w:szCs w:val="24"/>
          <w:lang w:eastAsia="et-EE"/>
        </w:rPr>
      </w:pPr>
      <w:r w:rsidRPr="00A415AF">
        <w:rPr>
          <w:rFonts w:ascii="Times New Roman" w:hAnsi="Times New Roman" w:cs="Times New Roman"/>
          <w:sz w:val="24"/>
          <w:szCs w:val="24"/>
        </w:rPr>
        <w:t>Eelkõige on jõutud järeldusele</w:t>
      </w:r>
      <w:r w:rsidR="0074434E">
        <w:rPr>
          <w:rFonts w:ascii="Times New Roman" w:hAnsi="Times New Roman" w:cs="Times New Roman"/>
          <w:sz w:val="24"/>
          <w:szCs w:val="24"/>
        </w:rPr>
        <w:t xml:space="preserve">, et teenuste osas moodustavad kõige suurema ajakulu Keskkonnateenused, </w:t>
      </w:r>
      <w:r w:rsidR="005145B4">
        <w:rPr>
          <w:rFonts w:ascii="Times New Roman" w:hAnsi="Times New Roman" w:cs="Times New Roman"/>
          <w:sz w:val="24"/>
          <w:szCs w:val="24"/>
        </w:rPr>
        <w:t>Maksu- ja Tolliamet, Statistikaamet ning Äriregister.</w:t>
      </w:r>
      <w:r w:rsidR="00F2269D">
        <w:rPr>
          <w:rFonts w:ascii="Times New Roman" w:hAnsi="Times New Roman" w:cs="Times New Roman"/>
          <w:sz w:val="24"/>
          <w:szCs w:val="24"/>
        </w:rPr>
        <w:t xml:space="preserve"> Samuti on tekitanud kõige suuremat rahulolematust just Keskkonnateenused, Stat</w:t>
      </w:r>
      <w:r w:rsidR="00C77B04">
        <w:rPr>
          <w:rFonts w:ascii="Times New Roman" w:hAnsi="Times New Roman" w:cs="Times New Roman"/>
          <w:sz w:val="24"/>
          <w:szCs w:val="24"/>
        </w:rPr>
        <w:t xml:space="preserve">istikaamet ning Maksu- ja Tolliamet. </w:t>
      </w:r>
      <w:r w:rsidR="008F65BB">
        <w:rPr>
          <w:rFonts w:ascii="Times New Roman" w:hAnsi="Times New Roman" w:cs="Times New Roman"/>
          <w:sz w:val="24"/>
          <w:szCs w:val="24"/>
        </w:rPr>
        <w:t>Kes</w:t>
      </w:r>
      <w:r w:rsidR="00786206">
        <w:rPr>
          <w:rFonts w:ascii="Times New Roman" w:hAnsi="Times New Roman" w:cs="Times New Roman"/>
          <w:sz w:val="24"/>
          <w:szCs w:val="24"/>
        </w:rPr>
        <w:t>kkonnateenuste puhul saab välja tuua, et probleeme on esinenud andmestiku nõrkusega. Sealhulgas a</w:t>
      </w:r>
      <w:r w:rsidR="00786206" w:rsidRPr="002509EB">
        <w:rPr>
          <w:rFonts w:ascii="Times New Roman" w:eastAsia="Times New Roman" w:hAnsi="Times New Roman" w:cs="Times New Roman"/>
          <w:color w:val="000000"/>
          <w:sz w:val="24"/>
          <w:szCs w:val="24"/>
          <w:lang w:eastAsia="et-EE"/>
        </w:rPr>
        <w:t>ruandekeskkond ei o</w:t>
      </w:r>
      <w:r w:rsidR="00786206">
        <w:rPr>
          <w:rFonts w:ascii="Times New Roman" w:eastAsia="Times New Roman" w:hAnsi="Times New Roman" w:cs="Times New Roman"/>
          <w:color w:val="000000"/>
          <w:sz w:val="24"/>
          <w:szCs w:val="24"/>
          <w:lang w:eastAsia="et-EE"/>
        </w:rPr>
        <w:t>le korralikult välja arendatud ning</w:t>
      </w:r>
      <w:r w:rsidR="00F2269D">
        <w:rPr>
          <w:rFonts w:ascii="Times New Roman" w:eastAsia="Times New Roman" w:hAnsi="Times New Roman" w:cs="Times New Roman"/>
          <w:color w:val="000000"/>
          <w:sz w:val="24"/>
          <w:szCs w:val="24"/>
          <w:lang w:eastAsia="et-EE"/>
        </w:rPr>
        <w:t xml:space="preserve"> </w:t>
      </w:r>
      <w:r w:rsidR="00786206">
        <w:rPr>
          <w:rFonts w:ascii="Times New Roman" w:eastAsia="Times New Roman" w:hAnsi="Times New Roman" w:cs="Times New Roman"/>
          <w:color w:val="000000"/>
          <w:sz w:val="24"/>
          <w:szCs w:val="24"/>
          <w:lang w:eastAsia="et-EE"/>
        </w:rPr>
        <w:t xml:space="preserve">seetõttu toimub ettevõtjate peal justkui testimine. Kuid testimine tekitab </w:t>
      </w:r>
      <w:r w:rsidR="00786206" w:rsidRPr="002509EB">
        <w:rPr>
          <w:rFonts w:ascii="Times New Roman" w:eastAsia="Times New Roman" w:hAnsi="Times New Roman" w:cs="Times New Roman"/>
          <w:color w:val="000000"/>
          <w:sz w:val="24"/>
          <w:szCs w:val="24"/>
          <w:lang w:eastAsia="et-EE"/>
        </w:rPr>
        <w:t xml:space="preserve">mõlemale </w:t>
      </w:r>
      <w:r w:rsidR="00786206">
        <w:rPr>
          <w:rFonts w:ascii="Times New Roman" w:eastAsia="Times New Roman" w:hAnsi="Times New Roman" w:cs="Times New Roman"/>
          <w:color w:val="000000"/>
          <w:sz w:val="24"/>
          <w:szCs w:val="24"/>
          <w:lang w:eastAsia="et-EE"/>
        </w:rPr>
        <w:t>osa</w:t>
      </w:r>
      <w:r w:rsidR="00786206" w:rsidRPr="002509EB">
        <w:rPr>
          <w:rFonts w:ascii="Times New Roman" w:eastAsia="Times New Roman" w:hAnsi="Times New Roman" w:cs="Times New Roman"/>
          <w:color w:val="000000"/>
          <w:sz w:val="24"/>
          <w:szCs w:val="24"/>
          <w:lang w:eastAsia="et-EE"/>
        </w:rPr>
        <w:t>poole</w:t>
      </w:r>
      <w:r w:rsidR="00786206">
        <w:rPr>
          <w:rFonts w:ascii="Times New Roman" w:eastAsia="Times New Roman" w:hAnsi="Times New Roman" w:cs="Times New Roman"/>
          <w:color w:val="000000"/>
          <w:sz w:val="24"/>
          <w:szCs w:val="24"/>
          <w:lang w:eastAsia="et-EE"/>
        </w:rPr>
        <w:t>le lisa</w:t>
      </w:r>
      <w:r w:rsidR="00786206" w:rsidRPr="002509EB">
        <w:rPr>
          <w:rFonts w:ascii="Times New Roman" w:eastAsia="Times New Roman" w:hAnsi="Times New Roman" w:cs="Times New Roman"/>
          <w:color w:val="000000"/>
          <w:sz w:val="24"/>
          <w:szCs w:val="24"/>
          <w:lang w:eastAsia="et-EE"/>
        </w:rPr>
        <w:t xml:space="preserve">tööd ja </w:t>
      </w:r>
      <w:r w:rsidR="00786206">
        <w:rPr>
          <w:rFonts w:ascii="Times New Roman" w:eastAsia="Times New Roman" w:hAnsi="Times New Roman" w:cs="Times New Roman"/>
          <w:color w:val="000000"/>
          <w:sz w:val="24"/>
          <w:szCs w:val="24"/>
          <w:lang w:eastAsia="et-EE"/>
        </w:rPr>
        <w:t>vaeva. Aastaaruande summatabelite puhul on tekitanud suuri probleeme summeerimine, sest pidevalt on tekitanud protsess probleeme. Aastaaruann</w:t>
      </w:r>
      <w:r w:rsidR="009975C5">
        <w:rPr>
          <w:rFonts w:ascii="Times New Roman" w:eastAsia="Times New Roman" w:hAnsi="Times New Roman" w:cs="Times New Roman"/>
          <w:color w:val="000000"/>
          <w:sz w:val="24"/>
          <w:szCs w:val="24"/>
          <w:lang w:eastAsia="et-EE"/>
        </w:rPr>
        <w:t>e</w:t>
      </w:r>
      <w:r w:rsidR="00786206">
        <w:rPr>
          <w:rFonts w:ascii="Times New Roman" w:eastAsia="Times New Roman" w:hAnsi="Times New Roman" w:cs="Times New Roman"/>
          <w:color w:val="000000"/>
          <w:sz w:val="24"/>
          <w:szCs w:val="24"/>
          <w:lang w:eastAsia="et-EE"/>
        </w:rPr>
        <w:t xml:space="preserve"> võiks</w:t>
      </w:r>
      <w:r w:rsidR="00786206" w:rsidRPr="002509EB">
        <w:rPr>
          <w:rFonts w:ascii="Times New Roman" w:eastAsia="Times New Roman" w:hAnsi="Times New Roman" w:cs="Times New Roman"/>
          <w:color w:val="000000"/>
          <w:sz w:val="24"/>
          <w:szCs w:val="24"/>
          <w:lang w:eastAsia="et-EE"/>
        </w:rPr>
        <w:t xml:space="preserve"> olla</w:t>
      </w:r>
      <w:r w:rsidR="00786206">
        <w:rPr>
          <w:rFonts w:ascii="Times New Roman" w:eastAsia="Times New Roman" w:hAnsi="Times New Roman" w:cs="Times New Roman"/>
          <w:color w:val="000000"/>
          <w:sz w:val="24"/>
          <w:szCs w:val="24"/>
          <w:lang w:eastAsia="et-EE"/>
        </w:rPr>
        <w:t xml:space="preserve"> kv aruannete põhjal eeltäidetud, sest ettevõtetelt küsitakse andmeid, mis on väga paljusid aastaid tagasi esitatud. Näiteks kui </w:t>
      </w:r>
      <w:proofErr w:type="spellStart"/>
      <w:r w:rsidR="00786206">
        <w:rPr>
          <w:rFonts w:ascii="Times New Roman" w:eastAsia="Times New Roman" w:hAnsi="Times New Roman" w:cs="Times New Roman"/>
          <w:color w:val="000000"/>
          <w:sz w:val="24"/>
          <w:szCs w:val="24"/>
          <w:lang w:eastAsia="et-EE"/>
        </w:rPr>
        <w:t>Kotkases</w:t>
      </w:r>
      <w:proofErr w:type="spellEnd"/>
      <w:r w:rsidR="00786206">
        <w:rPr>
          <w:rFonts w:ascii="Times New Roman" w:eastAsia="Times New Roman" w:hAnsi="Times New Roman" w:cs="Times New Roman"/>
          <w:color w:val="000000"/>
          <w:sz w:val="24"/>
          <w:szCs w:val="24"/>
          <w:lang w:eastAsia="et-EE"/>
        </w:rPr>
        <w:t xml:space="preserve"> andmed puuduvad, tekitab süsteem koheselt veateate.</w:t>
      </w:r>
      <w:r w:rsidR="00ED25AD">
        <w:rPr>
          <w:rFonts w:ascii="Times New Roman" w:eastAsia="Times New Roman" w:hAnsi="Times New Roman" w:cs="Times New Roman"/>
          <w:color w:val="000000"/>
          <w:sz w:val="24"/>
          <w:szCs w:val="24"/>
          <w:lang w:eastAsia="et-EE"/>
        </w:rPr>
        <w:t xml:space="preserve"> Samuti on esinenud probleeme Keskkonnateenustes andmete kättesaadavusega ning aruandekeskkond ei ole täielikult välja arendatud.</w:t>
      </w:r>
    </w:p>
    <w:p w:rsidR="00924A31" w:rsidRDefault="00924A31" w:rsidP="00C002CB">
      <w:pPr>
        <w:pStyle w:val="Vahedeta"/>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t-EE"/>
        </w:rPr>
        <w:t xml:space="preserve">Järgmiseks oluliseks murekohaks on osutunud Statistikaamet, mille aruanded ei ole aktsepteeritavas vormis. Eelkõige seetõttu, et ettevõtted peavad palju aega kulutama </w:t>
      </w:r>
      <w:proofErr w:type="spellStart"/>
      <w:r>
        <w:rPr>
          <w:rFonts w:ascii="Times New Roman" w:eastAsia="Times New Roman" w:hAnsi="Times New Roman" w:cs="Times New Roman"/>
          <w:color w:val="000000"/>
          <w:sz w:val="24"/>
          <w:szCs w:val="24"/>
          <w:lang w:eastAsia="et-EE"/>
        </w:rPr>
        <w:t>nendepoolsete</w:t>
      </w:r>
      <w:proofErr w:type="spellEnd"/>
      <w:r>
        <w:rPr>
          <w:rFonts w:ascii="Times New Roman" w:eastAsia="Times New Roman" w:hAnsi="Times New Roman" w:cs="Times New Roman"/>
          <w:color w:val="000000"/>
          <w:sz w:val="24"/>
          <w:szCs w:val="24"/>
          <w:lang w:eastAsia="et-EE"/>
        </w:rPr>
        <w:t xml:space="preserve"> ankeetide täitmisele, mille kohta tegelikult otsest tagasisidet ei jagata. Samuti </w:t>
      </w:r>
      <w:r w:rsidR="0071280C">
        <w:rPr>
          <w:rFonts w:ascii="Times New Roman" w:eastAsia="Times New Roman" w:hAnsi="Times New Roman" w:cs="Times New Roman"/>
          <w:color w:val="000000"/>
          <w:sz w:val="24"/>
          <w:szCs w:val="24"/>
          <w:lang w:eastAsia="et-EE"/>
        </w:rPr>
        <w:t xml:space="preserve">tekitab ettevõtetele probleemi edaspidiselt erinevates valdkondades statistikaga tutvumine, mille kohta info saamine on tehtud väga keeruliseks. </w:t>
      </w:r>
      <w:r w:rsidR="0071280C">
        <w:rPr>
          <w:rFonts w:ascii="Times New Roman" w:hAnsi="Times New Roman" w:cs="Times New Roman"/>
          <w:sz w:val="24"/>
          <w:szCs w:val="24"/>
        </w:rPr>
        <w:t>E</w:t>
      </w:r>
      <w:r>
        <w:rPr>
          <w:rFonts w:ascii="Times New Roman" w:hAnsi="Times New Roman" w:cs="Times New Roman"/>
          <w:sz w:val="24"/>
          <w:szCs w:val="24"/>
        </w:rPr>
        <w:t>ttevõtja sooviks pigem E-statistikaametis näha enda sektori importi, eksporti, investeeringuid kui ka kulustruktuure ning andmete tõlgendus peaks olema kompaktsem ning kõigile arusaadav. Samuti võiks Statistikaamet teha inventuuri raportite haaval, et need oleksid ikkagi kõigile arusaadavad.</w:t>
      </w:r>
      <w:r w:rsidR="004B7F2D">
        <w:rPr>
          <w:rFonts w:ascii="Times New Roman" w:hAnsi="Times New Roman" w:cs="Times New Roman"/>
          <w:sz w:val="24"/>
          <w:szCs w:val="24"/>
        </w:rPr>
        <w:t xml:space="preserve"> Maksu- ja Tolliameti puhul on </w:t>
      </w:r>
      <w:r w:rsidR="004B7F2D" w:rsidRPr="00B816E0">
        <w:rPr>
          <w:rFonts w:ascii="Times New Roman" w:hAnsi="Times New Roman" w:cs="Times New Roman"/>
          <w:sz w:val="24"/>
          <w:szCs w:val="24"/>
        </w:rPr>
        <w:t>välja toodud, et</w:t>
      </w:r>
      <w:r w:rsidR="004B7F2D">
        <w:rPr>
          <w:rFonts w:ascii="Times New Roman" w:hAnsi="Times New Roman" w:cs="Times New Roman"/>
          <w:sz w:val="24"/>
          <w:szCs w:val="24"/>
        </w:rPr>
        <w:t xml:space="preserve"> ametinimetused ja liigitused ei ole kõigile ühtselt arusaadavad ning õnnestunud, sest nimetused on esitatud segaselt ning lihtsamad nimetused on üldse jäetud välja. </w:t>
      </w:r>
      <w:r w:rsidR="004B7F2D" w:rsidRPr="00B816E0">
        <w:rPr>
          <w:rFonts w:ascii="Times New Roman" w:hAnsi="Times New Roman" w:cs="Times New Roman"/>
          <w:sz w:val="24"/>
          <w:szCs w:val="24"/>
        </w:rPr>
        <w:t xml:space="preserve"> </w:t>
      </w:r>
      <w:r w:rsidR="004B7F2D">
        <w:rPr>
          <w:rFonts w:ascii="Times New Roman" w:eastAsia="Times New Roman" w:hAnsi="Times New Roman" w:cs="Times New Roman"/>
          <w:color w:val="000000"/>
          <w:sz w:val="24"/>
          <w:szCs w:val="24"/>
          <w:lang w:eastAsia="et-EE"/>
        </w:rPr>
        <w:t>Samuti k</w:t>
      </w:r>
      <w:r w:rsidR="004B7F2D" w:rsidRPr="00B816E0">
        <w:rPr>
          <w:rFonts w:ascii="Times New Roman" w:eastAsia="Times New Roman" w:hAnsi="Times New Roman" w:cs="Times New Roman"/>
          <w:color w:val="000000"/>
          <w:sz w:val="24"/>
          <w:szCs w:val="24"/>
          <w:lang w:eastAsia="et-EE"/>
        </w:rPr>
        <w:t>lassifikaatorid</w:t>
      </w:r>
      <w:r w:rsidR="004B7F2D">
        <w:rPr>
          <w:rFonts w:ascii="Times New Roman" w:eastAsia="Times New Roman" w:hAnsi="Times New Roman" w:cs="Times New Roman"/>
          <w:color w:val="000000"/>
          <w:sz w:val="24"/>
          <w:szCs w:val="24"/>
          <w:lang w:eastAsia="et-EE"/>
        </w:rPr>
        <w:t xml:space="preserve"> on osutunud suureks murekohaks ning nendest ei ole olnud suurt abi.</w:t>
      </w:r>
    </w:p>
    <w:p w:rsidR="00543819" w:rsidRDefault="00B2651B" w:rsidP="00C002CB">
      <w:pPr>
        <w:pStyle w:val="Vahedet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Analüüsides käesolevaid probleeme teenuste lõikes</w:t>
      </w:r>
      <w:r w:rsidR="00C42B86">
        <w:rPr>
          <w:rFonts w:ascii="Times New Roman" w:hAnsi="Times New Roman" w:cs="Times New Roman"/>
          <w:sz w:val="24"/>
          <w:szCs w:val="24"/>
        </w:rPr>
        <w:t xml:space="preserve"> oleks edaspidiseks soovituseks, et Statistikaamet ning Keskkonnateenused muudaksid enda teenuseid võimalikult lihtsamaks ning kättesaadavamaks. Eelkõige on oluline, et Statistikaamet pakuks vastavalt enda vajadustele ka ettevõtetele tagasisidet </w:t>
      </w:r>
      <w:proofErr w:type="spellStart"/>
      <w:r w:rsidR="00C42B86">
        <w:rPr>
          <w:rFonts w:ascii="Times New Roman" w:hAnsi="Times New Roman" w:cs="Times New Roman"/>
          <w:sz w:val="24"/>
          <w:szCs w:val="24"/>
        </w:rPr>
        <w:t>endapoolsetest</w:t>
      </w:r>
      <w:proofErr w:type="spellEnd"/>
      <w:r w:rsidR="00C42B86">
        <w:rPr>
          <w:rFonts w:ascii="Times New Roman" w:hAnsi="Times New Roman" w:cs="Times New Roman"/>
          <w:sz w:val="24"/>
          <w:szCs w:val="24"/>
        </w:rPr>
        <w:t xml:space="preserve"> uuringutest. Hetkeseisuga on tekkinud olukord, kus tulemuste hankimine ning tutvumine on ettevõtetele osutunud raskesti kättesaadavaks. Samuti on oluline, et Statistikaamet muudaks </w:t>
      </w:r>
      <w:proofErr w:type="spellStart"/>
      <w:r w:rsidR="00C42B86">
        <w:rPr>
          <w:rFonts w:ascii="Times New Roman" w:hAnsi="Times New Roman" w:cs="Times New Roman"/>
          <w:sz w:val="24"/>
          <w:szCs w:val="24"/>
        </w:rPr>
        <w:t>endapoolsed</w:t>
      </w:r>
      <w:proofErr w:type="spellEnd"/>
      <w:r w:rsidR="00C42B86">
        <w:rPr>
          <w:rFonts w:ascii="Times New Roman" w:hAnsi="Times New Roman" w:cs="Times New Roman"/>
          <w:sz w:val="24"/>
          <w:szCs w:val="24"/>
        </w:rPr>
        <w:t xml:space="preserve"> nõudmised ettevõtetelt võimalikult lihtsaks ning arusaadavaks.</w:t>
      </w:r>
    </w:p>
    <w:p w:rsidR="0022428C" w:rsidRDefault="0022428C" w:rsidP="00C002CB">
      <w:pPr>
        <w:pStyle w:val="Vahedet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Halduskoormuse mõõtmise seisukohalt on välja kujunenud konkreetsed teenused ning nendega seotud probleemid, millega on oluline ka edaspidiselt tegeleda. Seni antud projekti käigus oli võimalik ettevõtetega teostatud intervjuude põhjal võimalik saada </w:t>
      </w:r>
      <w:proofErr w:type="spellStart"/>
      <w:r>
        <w:rPr>
          <w:rFonts w:ascii="Times New Roman" w:hAnsi="Times New Roman" w:cs="Times New Roman"/>
          <w:sz w:val="24"/>
          <w:szCs w:val="24"/>
        </w:rPr>
        <w:t>nendepoolset</w:t>
      </w:r>
      <w:proofErr w:type="spellEnd"/>
      <w:r>
        <w:rPr>
          <w:rFonts w:ascii="Times New Roman" w:hAnsi="Times New Roman" w:cs="Times New Roman"/>
          <w:sz w:val="24"/>
          <w:szCs w:val="24"/>
        </w:rPr>
        <w:t xml:space="preserve"> tagasisidet. </w:t>
      </w:r>
      <w:r w:rsidR="00AB5F06">
        <w:rPr>
          <w:rFonts w:ascii="Times New Roman" w:hAnsi="Times New Roman" w:cs="Times New Roman"/>
          <w:sz w:val="24"/>
          <w:szCs w:val="24"/>
        </w:rPr>
        <w:t>Saadud tagasiside pinnalt</w:t>
      </w:r>
    </w:p>
    <w:p w:rsidR="00E056BC" w:rsidRPr="00A8703A" w:rsidRDefault="0022428C" w:rsidP="00A8703A">
      <w:pPr>
        <w:jc w:val="both"/>
        <w:rPr>
          <w:rFonts w:ascii="Aino" w:hAnsi="Aino"/>
        </w:rPr>
      </w:pPr>
      <w:r w:rsidRPr="00417A58">
        <w:rPr>
          <w:rFonts w:ascii="Aino" w:hAnsi="Aino"/>
        </w:rPr>
        <w:t xml:space="preserve"> </w:t>
      </w:r>
    </w:p>
    <w:p w:rsidR="00E056BC" w:rsidRPr="00E056BC" w:rsidRDefault="00E056BC" w:rsidP="00574368">
      <w:pPr>
        <w:pStyle w:val="Vahedeta"/>
        <w:spacing w:line="360" w:lineRule="auto"/>
        <w:jc w:val="both"/>
        <w:rPr>
          <w:rFonts w:ascii="Times New Roman" w:hAnsi="Times New Roman" w:cs="Times New Roman"/>
          <w:sz w:val="24"/>
          <w:szCs w:val="24"/>
        </w:rPr>
      </w:pPr>
      <w:r w:rsidRPr="00E056BC">
        <w:rPr>
          <w:rFonts w:ascii="Times New Roman" w:hAnsi="Times New Roman" w:cs="Times New Roman"/>
          <w:sz w:val="24"/>
          <w:szCs w:val="24"/>
        </w:rPr>
        <w:t>Joonis 9. Ettevõtete keskmise rahulolu kokkuvõte halduskoormuses</w:t>
      </w:r>
    </w:p>
    <w:p w:rsidR="00E056BC" w:rsidRDefault="00E056BC" w:rsidP="00574368">
      <w:pPr>
        <w:pStyle w:val="Vahedeta"/>
        <w:spacing w:line="360" w:lineRule="auto"/>
        <w:jc w:val="both"/>
        <w:rPr>
          <w:rFonts w:ascii="Times New Roman" w:hAnsi="Times New Roman" w:cs="Times New Roman"/>
          <w:b/>
          <w:sz w:val="24"/>
          <w:szCs w:val="24"/>
        </w:rPr>
      </w:pPr>
      <w:r>
        <w:rPr>
          <w:noProof/>
          <w:lang w:eastAsia="et-EE"/>
        </w:rPr>
        <mc:AlternateContent>
          <mc:Choice Requires="cx1">
            <w:drawing>
              <wp:inline distT="0" distB="0" distL="0" distR="0" wp14:anchorId="55950867" wp14:editId="51703BE5">
                <wp:extent cx="4572000" cy="2743200"/>
                <wp:effectExtent l="0" t="0" r="0" b="0"/>
                <wp:docPr id="9" name="Diagramm 9"/>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w:drawing>
              <wp:inline distT="0" distB="0" distL="0" distR="0" wp14:anchorId="55950867" wp14:editId="51703BE5">
                <wp:extent cx="4572000" cy="2743200"/>
                <wp:effectExtent l="0" t="0" r="0" b="0"/>
                <wp:docPr id="9" name="Diagramm 9"/>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Diagramm 9"/>
                        <pic:cNvPicPr>
                          <a:picLocks noGrp="1" noRot="1" noChangeAspect="1" noMove="1" noResize="1" noEditPoints="1" noAdjustHandles="1" noChangeArrowheads="1" noChangeShapeType="1"/>
                        </pic:cNvPicPr>
                      </pic:nvPicPr>
                      <pic:blipFill>
                        <a:blip r:embed="rId16"/>
                        <a:stretch>
                          <a:fillRect/>
                        </a:stretch>
                      </pic:blipFill>
                      <pic:spPr>
                        <a:xfrm>
                          <a:off x="0" y="0"/>
                          <a:ext cx="4572000" cy="2743200"/>
                        </a:xfrm>
                        <a:prstGeom prst="rect">
                          <a:avLst/>
                        </a:prstGeom>
                      </pic:spPr>
                    </pic:pic>
                  </a:graphicData>
                </a:graphic>
              </wp:inline>
            </w:drawing>
          </mc:Fallback>
        </mc:AlternateContent>
      </w:r>
    </w:p>
    <w:p w:rsidR="00946734" w:rsidRDefault="00946734" w:rsidP="00574368">
      <w:pPr>
        <w:pStyle w:val="Vahedeta"/>
        <w:spacing w:line="360" w:lineRule="auto"/>
        <w:jc w:val="both"/>
        <w:rPr>
          <w:rFonts w:ascii="Times New Roman" w:hAnsi="Times New Roman" w:cs="Times New Roman"/>
          <w:b/>
          <w:sz w:val="24"/>
          <w:szCs w:val="24"/>
        </w:rPr>
      </w:pPr>
    </w:p>
    <w:p w:rsidR="00946734" w:rsidRDefault="00946734" w:rsidP="00574368">
      <w:pPr>
        <w:pStyle w:val="Vahedeta"/>
        <w:spacing w:line="360" w:lineRule="auto"/>
        <w:jc w:val="both"/>
        <w:rPr>
          <w:rFonts w:ascii="Times New Roman" w:hAnsi="Times New Roman" w:cs="Times New Roman"/>
          <w:b/>
          <w:sz w:val="24"/>
          <w:szCs w:val="24"/>
        </w:rPr>
      </w:pPr>
    </w:p>
    <w:p w:rsidR="000870A2" w:rsidRPr="00893FB0" w:rsidRDefault="00893FB0" w:rsidP="00574368">
      <w:pPr>
        <w:pStyle w:val="Vahedeta"/>
        <w:spacing w:line="360" w:lineRule="auto"/>
        <w:jc w:val="both"/>
        <w:rPr>
          <w:rFonts w:ascii="Times New Roman" w:hAnsi="Times New Roman" w:cs="Times New Roman"/>
          <w:sz w:val="24"/>
          <w:szCs w:val="24"/>
        </w:rPr>
      </w:pPr>
      <w:r w:rsidRPr="00893FB0">
        <w:rPr>
          <w:rFonts w:ascii="Times New Roman" w:hAnsi="Times New Roman" w:cs="Times New Roman"/>
          <w:sz w:val="24"/>
          <w:szCs w:val="24"/>
        </w:rPr>
        <w:t>Joonis 10. Ettevõtete keskmine ajakulu teenuste lõikes</w:t>
      </w:r>
    </w:p>
    <w:p w:rsidR="00574368" w:rsidRPr="00E95C66" w:rsidRDefault="000870A2" w:rsidP="00995454">
      <w:pPr>
        <w:pStyle w:val="Vahedeta"/>
        <w:spacing w:line="360" w:lineRule="auto"/>
        <w:jc w:val="both"/>
        <w:rPr>
          <w:rFonts w:ascii="Times New Roman" w:hAnsi="Times New Roman" w:cs="Times New Roman"/>
          <w:b/>
          <w:sz w:val="24"/>
          <w:szCs w:val="24"/>
        </w:rPr>
      </w:pPr>
      <w:r>
        <w:rPr>
          <w:noProof/>
          <w:lang w:eastAsia="et-EE"/>
        </w:rPr>
        <mc:AlternateContent>
          <mc:Choice Requires="cx1">
            <w:drawing>
              <wp:inline distT="0" distB="0" distL="0" distR="0" wp14:anchorId="7124461C" wp14:editId="55680F30">
                <wp:extent cx="4708525" cy="2892425"/>
                <wp:effectExtent l="0" t="0" r="15875" b="3175"/>
                <wp:docPr id="10" name="Diagramm 10"/>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7124461C" wp14:editId="55680F30">
                <wp:extent cx="4708525" cy="2892425"/>
                <wp:effectExtent l="0" t="0" r="15875" b="3175"/>
                <wp:docPr id="10" name="Diagramm 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Diagramm 10"/>
                        <pic:cNvPicPr>
                          <a:picLocks noGrp="1" noRot="1" noChangeAspect="1" noMove="1" noResize="1" noEditPoints="1" noAdjustHandles="1" noChangeArrowheads="1" noChangeShapeType="1"/>
                        </pic:cNvPicPr>
                      </pic:nvPicPr>
                      <pic:blipFill>
                        <a:blip r:embed="rId18"/>
                        <a:stretch>
                          <a:fillRect/>
                        </a:stretch>
                      </pic:blipFill>
                      <pic:spPr>
                        <a:xfrm>
                          <a:off x="0" y="0"/>
                          <a:ext cx="4708525" cy="2892425"/>
                        </a:xfrm>
                        <a:prstGeom prst="rect">
                          <a:avLst/>
                        </a:prstGeom>
                      </pic:spPr>
                    </pic:pic>
                  </a:graphicData>
                </a:graphic>
              </wp:inline>
            </w:drawing>
          </mc:Fallback>
        </mc:AlternateContent>
      </w:r>
    </w:p>
    <w:p w:rsidR="00574368" w:rsidRPr="00E95C66" w:rsidRDefault="00574368" w:rsidP="00574368">
      <w:pPr>
        <w:pStyle w:val="Vahedeta"/>
        <w:spacing w:line="360" w:lineRule="auto"/>
        <w:rPr>
          <w:rFonts w:ascii="Times New Roman" w:hAnsi="Times New Roman" w:cs="Times New Roman"/>
          <w:b/>
          <w:sz w:val="24"/>
          <w:szCs w:val="24"/>
        </w:rPr>
      </w:pPr>
    </w:p>
    <w:p w:rsidR="00574368" w:rsidRPr="00174D50" w:rsidRDefault="00574368" w:rsidP="00574368">
      <w:pPr>
        <w:spacing w:line="360" w:lineRule="auto"/>
        <w:ind w:firstLine="708"/>
        <w:jc w:val="both"/>
        <w:rPr>
          <w:rFonts w:ascii="Times New Roman" w:hAnsi="Times New Roman" w:cs="Times New Roman"/>
          <w:sz w:val="24"/>
          <w:szCs w:val="24"/>
        </w:rPr>
      </w:pPr>
    </w:p>
    <w:p w:rsidR="00574368" w:rsidRPr="00174D50" w:rsidRDefault="00574368" w:rsidP="00574368">
      <w:pPr>
        <w:jc w:val="both"/>
        <w:rPr>
          <w:rFonts w:ascii="Times New Roman" w:hAnsi="Times New Roman" w:cs="Times New Roman"/>
          <w:sz w:val="24"/>
          <w:szCs w:val="24"/>
        </w:rPr>
      </w:pPr>
    </w:p>
    <w:p w:rsidR="00FC4103" w:rsidRDefault="00C002CB"/>
    <w:sectPr w:rsidR="00FC410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0B" w:rsidRDefault="00D5210B" w:rsidP="00F8029A">
      <w:pPr>
        <w:spacing w:after="0" w:line="240" w:lineRule="auto"/>
      </w:pPr>
      <w:r>
        <w:separator/>
      </w:r>
    </w:p>
  </w:endnote>
  <w:endnote w:type="continuationSeparator" w:id="0">
    <w:p w:rsidR="00D5210B" w:rsidRDefault="00D5210B" w:rsidP="00F8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ino">
    <w:altName w:val="Times New Roman"/>
    <w:panose1 w:val="00000000000000000000"/>
    <w:charset w:val="00"/>
    <w:family w:val="modern"/>
    <w:notTrueType/>
    <w:pitch w:val="variable"/>
    <w:sig w:usb0="00000001" w:usb1="4000004A" w:usb2="00000000" w:usb3="00000000" w:csb0="00000097"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944281"/>
      <w:docPartObj>
        <w:docPartGallery w:val="Page Numbers (Bottom of Page)"/>
        <w:docPartUnique/>
      </w:docPartObj>
    </w:sdtPr>
    <w:sdtContent>
      <w:p w:rsidR="00C002CB" w:rsidRDefault="00C002CB">
        <w:pPr>
          <w:pStyle w:val="Jalus"/>
          <w:jc w:val="right"/>
        </w:pPr>
        <w:r>
          <w:fldChar w:fldCharType="begin"/>
        </w:r>
        <w:r>
          <w:instrText>PAGE   \* MERGEFORMAT</w:instrText>
        </w:r>
        <w:r>
          <w:fldChar w:fldCharType="separate"/>
        </w:r>
        <w:r>
          <w:rPr>
            <w:noProof/>
          </w:rPr>
          <w:t>1</w:t>
        </w:r>
        <w:r>
          <w:fldChar w:fldCharType="end"/>
        </w:r>
      </w:p>
    </w:sdtContent>
  </w:sdt>
  <w:p w:rsidR="00C002CB" w:rsidRDefault="00C002C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0B" w:rsidRDefault="00D5210B" w:rsidP="00F8029A">
      <w:pPr>
        <w:spacing w:after="0" w:line="240" w:lineRule="auto"/>
      </w:pPr>
      <w:r>
        <w:separator/>
      </w:r>
    </w:p>
  </w:footnote>
  <w:footnote w:type="continuationSeparator" w:id="0">
    <w:p w:rsidR="00D5210B" w:rsidRDefault="00D5210B" w:rsidP="00F80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062"/>
    <w:multiLevelType w:val="hybridMultilevel"/>
    <w:tmpl w:val="07F0EEF2"/>
    <w:lvl w:ilvl="0" w:tplc="034E3C5C">
      <w:numFmt w:val="bullet"/>
      <w:lvlText w:val="-"/>
      <w:lvlJc w:val="left"/>
      <w:pPr>
        <w:ind w:left="420" w:hanging="360"/>
      </w:pPr>
      <w:rPr>
        <w:rFonts w:ascii="Times New Roman" w:eastAsiaTheme="minorHAnsi"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 w15:restartNumberingAfterBreak="0">
    <w:nsid w:val="3E340FEE"/>
    <w:multiLevelType w:val="hybridMultilevel"/>
    <w:tmpl w:val="C60C753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8C6744E"/>
    <w:multiLevelType w:val="hybridMultilevel"/>
    <w:tmpl w:val="46EE8E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68"/>
    <w:rsid w:val="000124D5"/>
    <w:rsid w:val="00036F9D"/>
    <w:rsid w:val="00051ADF"/>
    <w:rsid w:val="00071681"/>
    <w:rsid w:val="000870A2"/>
    <w:rsid w:val="000B709F"/>
    <w:rsid w:val="000C2EF8"/>
    <w:rsid w:val="000E447C"/>
    <w:rsid w:val="000F451E"/>
    <w:rsid w:val="00137AB0"/>
    <w:rsid w:val="00163DE4"/>
    <w:rsid w:val="00173737"/>
    <w:rsid w:val="001813F8"/>
    <w:rsid w:val="001C533D"/>
    <w:rsid w:val="001D2641"/>
    <w:rsid w:val="001D716A"/>
    <w:rsid w:val="00203BEB"/>
    <w:rsid w:val="0022068B"/>
    <w:rsid w:val="0022428C"/>
    <w:rsid w:val="002359DC"/>
    <w:rsid w:val="002419D7"/>
    <w:rsid w:val="002466CB"/>
    <w:rsid w:val="0027567C"/>
    <w:rsid w:val="00276574"/>
    <w:rsid w:val="002B6DEE"/>
    <w:rsid w:val="002C0267"/>
    <w:rsid w:val="002C0725"/>
    <w:rsid w:val="002E4242"/>
    <w:rsid w:val="00300CDB"/>
    <w:rsid w:val="003105DB"/>
    <w:rsid w:val="00356493"/>
    <w:rsid w:val="00357AB2"/>
    <w:rsid w:val="00362DDD"/>
    <w:rsid w:val="00370415"/>
    <w:rsid w:val="0037563D"/>
    <w:rsid w:val="00381089"/>
    <w:rsid w:val="003937F0"/>
    <w:rsid w:val="00397C2F"/>
    <w:rsid w:val="003A2DAD"/>
    <w:rsid w:val="003E7DB3"/>
    <w:rsid w:val="003F1CB7"/>
    <w:rsid w:val="0041043F"/>
    <w:rsid w:val="00420A1F"/>
    <w:rsid w:val="00440CFC"/>
    <w:rsid w:val="004B784B"/>
    <w:rsid w:val="004B7F2D"/>
    <w:rsid w:val="004C189A"/>
    <w:rsid w:val="004D5679"/>
    <w:rsid w:val="004E56B8"/>
    <w:rsid w:val="004F7557"/>
    <w:rsid w:val="005145B4"/>
    <w:rsid w:val="00526E03"/>
    <w:rsid w:val="00531E4A"/>
    <w:rsid w:val="00541983"/>
    <w:rsid w:val="00542316"/>
    <w:rsid w:val="00543819"/>
    <w:rsid w:val="0055162E"/>
    <w:rsid w:val="0055552A"/>
    <w:rsid w:val="00574368"/>
    <w:rsid w:val="00581A19"/>
    <w:rsid w:val="00582C95"/>
    <w:rsid w:val="005943D1"/>
    <w:rsid w:val="005A298A"/>
    <w:rsid w:val="005B4702"/>
    <w:rsid w:val="005E1C68"/>
    <w:rsid w:val="006017C2"/>
    <w:rsid w:val="00640927"/>
    <w:rsid w:val="00655639"/>
    <w:rsid w:val="00655A66"/>
    <w:rsid w:val="006713CE"/>
    <w:rsid w:val="00683B30"/>
    <w:rsid w:val="006C2704"/>
    <w:rsid w:val="006E272A"/>
    <w:rsid w:val="006E57FB"/>
    <w:rsid w:val="0070011E"/>
    <w:rsid w:val="0070114C"/>
    <w:rsid w:val="0071280C"/>
    <w:rsid w:val="0071506D"/>
    <w:rsid w:val="0073111C"/>
    <w:rsid w:val="00736864"/>
    <w:rsid w:val="00737621"/>
    <w:rsid w:val="0074337D"/>
    <w:rsid w:val="0074434E"/>
    <w:rsid w:val="00745EBA"/>
    <w:rsid w:val="00765E3C"/>
    <w:rsid w:val="0078192E"/>
    <w:rsid w:val="00786206"/>
    <w:rsid w:val="007954F1"/>
    <w:rsid w:val="007A7D5D"/>
    <w:rsid w:val="007B2065"/>
    <w:rsid w:val="007C1D72"/>
    <w:rsid w:val="007C2DD9"/>
    <w:rsid w:val="007E5CD8"/>
    <w:rsid w:val="0080455A"/>
    <w:rsid w:val="00863415"/>
    <w:rsid w:val="008823A9"/>
    <w:rsid w:val="0088765E"/>
    <w:rsid w:val="00893FB0"/>
    <w:rsid w:val="008A29DB"/>
    <w:rsid w:val="008A2A5E"/>
    <w:rsid w:val="008D0238"/>
    <w:rsid w:val="008E21D1"/>
    <w:rsid w:val="008E77E7"/>
    <w:rsid w:val="008F1029"/>
    <w:rsid w:val="008F65BB"/>
    <w:rsid w:val="00924A31"/>
    <w:rsid w:val="009340A8"/>
    <w:rsid w:val="00946734"/>
    <w:rsid w:val="00995454"/>
    <w:rsid w:val="00995E5D"/>
    <w:rsid w:val="0099737E"/>
    <w:rsid w:val="009975C5"/>
    <w:rsid w:val="009A33AF"/>
    <w:rsid w:val="009D1666"/>
    <w:rsid w:val="009D2109"/>
    <w:rsid w:val="009E4209"/>
    <w:rsid w:val="009F7217"/>
    <w:rsid w:val="00A01787"/>
    <w:rsid w:val="00A02342"/>
    <w:rsid w:val="00A041C0"/>
    <w:rsid w:val="00A201A7"/>
    <w:rsid w:val="00A34B0C"/>
    <w:rsid w:val="00A415AF"/>
    <w:rsid w:val="00A654A4"/>
    <w:rsid w:val="00A70856"/>
    <w:rsid w:val="00A71BEF"/>
    <w:rsid w:val="00A85872"/>
    <w:rsid w:val="00A8703A"/>
    <w:rsid w:val="00AB1069"/>
    <w:rsid w:val="00AB5F06"/>
    <w:rsid w:val="00AF3135"/>
    <w:rsid w:val="00AF50B1"/>
    <w:rsid w:val="00B00160"/>
    <w:rsid w:val="00B05A4E"/>
    <w:rsid w:val="00B07F5B"/>
    <w:rsid w:val="00B2651B"/>
    <w:rsid w:val="00B315F5"/>
    <w:rsid w:val="00B355E0"/>
    <w:rsid w:val="00B45CCA"/>
    <w:rsid w:val="00B50D9D"/>
    <w:rsid w:val="00B62842"/>
    <w:rsid w:val="00B65768"/>
    <w:rsid w:val="00B816E0"/>
    <w:rsid w:val="00BC21C4"/>
    <w:rsid w:val="00BC56F2"/>
    <w:rsid w:val="00BD7626"/>
    <w:rsid w:val="00C002CB"/>
    <w:rsid w:val="00C04B85"/>
    <w:rsid w:val="00C0665E"/>
    <w:rsid w:val="00C12324"/>
    <w:rsid w:val="00C42B86"/>
    <w:rsid w:val="00C446D9"/>
    <w:rsid w:val="00C50B4B"/>
    <w:rsid w:val="00C56F43"/>
    <w:rsid w:val="00C66942"/>
    <w:rsid w:val="00C67E36"/>
    <w:rsid w:val="00C67E64"/>
    <w:rsid w:val="00C73F56"/>
    <w:rsid w:val="00C77B04"/>
    <w:rsid w:val="00CD66CE"/>
    <w:rsid w:val="00CE3249"/>
    <w:rsid w:val="00CF1289"/>
    <w:rsid w:val="00D0298D"/>
    <w:rsid w:val="00D25E26"/>
    <w:rsid w:val="00D3401D"/>
    <w:rsid w:val="00D405E8"/>
    <w:rsid w:val="00D45D82"/>
    <w:rsid w:val="00D5210B"/>
    <w:rsid w:val="00D719ED"/>
    <w:rsid w:val="00D86315"/>
    <w:rsid w:val="00DA07CB"/>
    <w:rsid w:val="00DE50E3"/>
    <w:rsid w:val="00E01F67"/>
    <w:rsid w:val="00E056BC"/>
    <w:rsid w:val="00E21065"/>
    <w:rsid w:val="00E278F7"/>
    <w:rsid w:val="00E31419"/>
    <w:rsid w:val="00E411DE"/>
    <w:rsid w:val="00E512C2"/>
    <w:rsid w:val="00E77981"/>
    <w:rsid w:val="00E8139F"/>
    <w:rsid w:val="00EA453E"/>
    <w:rsid w:val="00EC0E56"/>
    <w:rsid w:val="00ED25AD"/>
    <w:rsid w:val="00ED5E9D"/>
    <w:rsid w:val="00EF640C"/>
    <w:rsid w:val="00F11EAA"/>
    <w:rsid w:val="00F1402D"/>
    <w:rsid w:val="00F2269D"/>
    <w:rsid w:val="00F32934"/>
    <w:rsid w:val="00F6652E"/>
    <w:rsid w:val="00F77BDC"/>
    <w:rsid w:val="00F8029A"/>
    <w:rsid w:val="00FB5545"/>
    <w:rsid w:val="00FB6098"/>
    <w:rsid w:val="00FC121C"/>
    <w:rsid w:val="00FD0107"/>
    <w:rsid w:val="00FE72DC"/>
    <w:rsid w:val="00FF33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1D7E"/>
  <w15:chartTrackingRefBased/>
  <w15:docId w15:val="{61F84BA3-C51B-445A-B9C5-73335C7E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74368"/>
  </w:style>
  <w:style w:type="paragraph" w:styleId="Pealkiri1">
    <w:name w:val="heading 1"/>
    <w:basedOn w:val="Normaallaad"/>
    <w:next w:val="Normaallaad"/>
    <w:link w:val="Pealkiri1Mrk"/>
    <w:uiPriority w:val="9"/>
    <w:qFormat/>
    <w:rsid w:val="00BC2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BC21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574368"/>
    <w:pPr>
      <w:spacing w:after="0" w:line="240" w:lineRule="auto"/>
    </w:pPr>
  </w:style>
  <w:style w:type="paragraph" w:styleId="Pis">
    <w:name w:val="header"/>
    <w:basedOn w:val="Normaallaad"/>
    <w:link w:val="PisMrk"/>
    <w:uiPriority w:val="99"/>
    <w:unhideWhenUsed/>
    <w:rsid w:val="00F8029A"/>
    <w:pPr>
      <w:tabs>
        <w:tab w:val="center" w:pos="4536"/>
        <w:tab w:val="right" w:pos="9072"/>
      </w:tabs>
      <w:spacing w:after="0" w:line="240" w:lineRule="auto"/>
    </w:pPr>
  </w:style>
  <w:style w:type="character" w:customStyle="1" w:styleId="PisMrk">
    <w:name w:val="Päis Märk"/>
    <w:basedOn w:val="Liguvaikefont"/>
    <w:link w:val="Pis"/>
    <w:uiPriority w:val="99"/>
    <w:rsid w:val="00F8029A"/>
  </w:style>
  <w:style w:type="paragraph" w:styleId="Jalus">
    <w:name w:val="footer"/>
    <w:basedOn w:val="Normaallaad"/>
    <w:link w:val="JalusMrk"/>
    <w:uiPriority w:val="99"/>
    <w:unhideWhenUsed/>
    <w:rsid w:val="00F8029A"/>
    <w:pPr>
      <w:tabs>
        <w:tab w:val="center" w:pos="4536"/>
        <w:tab w:val="right" w:pos="9072"/>
      </w:tabs>
      <w:spacing w:after="0" w:line="240" w:lineRule="auto"/>
    </w:pPr>
  </w:style>
  <w:style w:type="character" w:customStyle="1" w:styleId="JalusMrk">
    <w:name w:val="Jalus Märk"/>
    <w:basedOn w:val="Liguvaikefont"/>
    <w:link w:val="Jalus"/>
    <w:uiPriority w:val="99"/>
    <w:rsid w:val="00F8029A"/>
  </w:style>
  <w:style w:type="paragraph" w:styleId="Normaallaadveeb">
    <w:name w:val="Normal (Web)"/>
    <w:basedOn w:val="Normaallaad"/>
    <w:uiPriority w:val="99"/>
    <w:semiHidden/>
    <w:unhideWhenUsed/>
    <w:rsid w:val="00FF33A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FF33A2"/>
    <w:rPr>
      <w:color w:val="0000FF"/>
      <w:u w:val="single"/>
    </w:rPr>
  </w:style>
  <w:style w:type="character" w:customStyle="1" w:styleId="Pealkiri1Mrk">
    <w:name w:val="Pealkiri 1 Märk"/>
    <w:basedOn w:val="Liguvaikefont"/>
    <w:link w:val="Pealkiri1"/>
    <w:uiPriority w:val="9"/>
    <w:rsid w:val="00BC21C4"/>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BC21C4"/>
    <w:rPr>
      <w:rFonts w:asciiTheme="majorHAnsi" w:eastAsiaTheme="majorEastAsia" w:hAnsiTheme="majorHAnsi" w:cstheme="majorBidi"/>
      <w:color w:val="2E74B5" w:themeColor="accent1" w:themeShade="BF"/>
      <w:sz w:val="26"/>
      <w:szCs w:val="26"/>
    </w:rPr>
  </w:style>
  <w:style w:type="paragraph" w:styleId="Tugevtsitaat">
    <w:name w:val="Intense Quote"/>
    <w:basedOn w:val="Normaallaad"/>
    <w:next w:val="Normaallaad"/>
    <w:link w:val="TugevtsitaatMrk"/>
    <w:uiPriority w:val="30"/>
    <w:qFormat/>
    <w:rsid w:val="00BC2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TugevtsitaatMrk">
    <w:name w:val="Tugev tsitaat Märk"/>
    <w:basedOn w:val="Liguvaikefont"/>
    <w:link w:val="Tugevtsitaat"/>
    <w:uiPriority w:val="30"/>
    <w:rsid w:val="00BC21C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08">
      <w:bodyDiv w:val="1"/>
      <w:marLeft w:val="0"/>
      <w:marRight w:val="0"/>
      <w:marTop w:val="0"/>
      <w:marBottom w:val="0"/>
      <w:divBdr>
        <w:top w:val="none" w:sz="0" w:space="0" w:color="auto"/>
        <w:left w:val="none" w:sz="0" w:space="0" w:color="auto"/>
        <w:bottom w:val="none" w:sz="0" w:space="0" w:color="auto"/>
        <w:right w:val="none" w:sz="0" w:space="0" w:color="auto"/>
      </w:divBdr>
    </w:div>
    <w:div w:id="15040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microsoft.com/office/2014/relationships/chartEx" Target="charts/chartEx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microsoft.com/office/2014/relationships/chartEx" Target="charts/chartEx1.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gnessa.koobas\Desktop\BALBIINO\Koopia%20failist%20Koopia%20failist%20excel%20ANKEET%20(versioon%202019)%20Balbiino%20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gnessa.koobas\Desktop\BALBIINO\Koopia%20failist%20Koopia%20failist%20excel%20ANKEET%20(versioon%202019)%20Balbiino%20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gnessa.koobas\Desktop\Santa%20Maria%20AS\Santa%20Maria%20AS%20excel(joonisteg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gnessa.koobas\Desktop\Santa%20Maria%20AS\Santa%20Maria%20AS%20excel(joonisteg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gnessa.koobas\Desktop\Nordic%20Tsement%20AS\Koopia%20failist%20Copy%20of%20ANKEET%20KNT%20(versioon%202019)%20uus%20draft%20EXCEL%20TAB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gnessa.koobas\Desktop\Nordic%20Tsement%20AS\Koopia%20failist%20Copy%20of%20ANKEET%20KNT%20(versioon%202019)%20uus%20draft%20EXCEL%20TAB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gnessa.koobas\Desktop\Ruut%20Ehituse%20AS\Koopia%20failist%20Koopia%20failist%20excel%20ANKEET%20(versioon%202019)%20(ruutehitu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gnessa.koobas\Desktop\Ruut%20Ehituse%20AS\Koopia%20failist%20Koopia%20failist%20excel%20ANKEET%20(versioon%202019)%20(ruutehitus).xlsx" TargetMode="External"/><Relationship Id="rId2" Type="http://schemas.microsoft.com/office/2011/relationships/chartColorStyle" Target="colors8.xml"/><Relationship Id="rId1" Type="http://schemas.microsoft.com/office/2011/relationships/chartStyle" Target="style8.xml"/></Relationships>
</file>

<file path=word/charts/_rels/chartEx1.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gnessa.koobas\Desktop\BALBIINO\Koopia%20failist%20Koopia%20failist%20excel%20ANKEET%20(versioon%202019)%20Balbiino%20AS.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gnessa.koobas\Desktop\BALBIINO\Koopia%20failist%20Koopia%20failist%20excel%20ANKEET%20(versioon%202019)%20Balbiino%20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b="1">
                <a:solidFill>
                  <a:sysClr val="windowText" lastClr="000000"/>
                </a:solidFill>
              </a:rPr>
              <a:t>AJAKULU </a:t>
            </a:r>
            <a:r>
              <a:rPr lang="en-US" b="1">
                <a:solidFill>
                  <a:sysClr val="windowText" lastClr="000000"/>
                </a:solidFill>
              </a:rPr>
              <a:t>(h</a:t>
            </a:r>
            <a:r>
              <a:rPr lang="en-US"/>
              <a:t>)</a:t>
            </a:r>
          </a:p>
        </c:rich>
      </c:tx>
      <c:layout/>
      <c:overlay val="0"/>
      <c:spPr>
        <a:solidFill>
          <a:sysClr val="window" lastClr="FFFFFF"/>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0.32756167979002626"/>
          <c:y val="0.15522965879265091"/>
          <c:w val="0.3837657480314961"/>
          <c:h val="0.63960958005249358"/>
        </c:manualLayout>
      </c:layout>
      <c:pieChart>
        <c:varyColors val="1"/>
        <c:ser>
          <c:idx val="0"/>
          <c:order val="0"/>
          <c:tx>
            <c:strRef>
              <c:f>Leht3!$C$10</c:f>
              <c:strCache>
                <c:ptCount val="1"/>
                <c:pt idx="0">
                  <c:v>AJAKULU (h)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9FD-43E0-9A97-8306A8E2B0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9FD-43E0-9A97-8306A8E2B0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9FD-43E0-9A97-8306A8E2B0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9FD-43E0-9A97-8306A8E2B06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9FD-43E0-9A97-8306A8E2B060}"/>
              </c:ext>
            </c:extLst>
          </c:dPt>
          <c:dLbls>
            <c:dLbl>
              <c:idx val="0"/>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9FD-43E0-9A97-8306A8E2B060}"/>
                </c:ext>
              </c:extLst>
            </c:dLbl>
            <c:dLbl>
              <c:idx val="1"/>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9FD-43E0-9A97-8306A8E2B060}"/>
                </c:ext>
              </c:extLst>
            </c:dLbl>
            <c:dLbl>
              <c:idx val="2"/>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9FD-43E0-9A97-8306A8E2B060}"/>
                </c:ext>
              </c:extLst>
            </c:dLbl>
            <c:dLbl>
              <c:idx val="3"/>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9FD-43E0-9A97-8306A8E2B060}"/>
                </c:ext>
              </c:extLst>
            </c:dLbl>
            <c:dLbl>
              <c:idx val="4"/>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9FD-43E0-9A97-8306A8E2B060}"/>
                </c:ext>
              </c:extLst>
            </c:dLbl>
            <c:spPr>
              <a:solidFill>
                <a:schemeClr val="accent4">
                  <a:lumMod val="20000"/>
                  <a:lumOff val="80000"/>
                </a:schemeClr>
              </a:solidFill>
              <a:ln>
                <a:noFill/>
              </a:ln>
              <a:effectLst/>
            </c:spPr>
            <c:txPr>
              <a:bodyPr rot="0" spcFirstLastPara="1" vertOverflow="ellipsis" vert="horz" wrap="square" lIns="38100" tIns="19050" rIns="38100" bIns="19050" anchor="ctr" anchorCtr="1">
                <a:spAutoFit/>
              </a:bodyPr>
              <a:lstStyle/>
              <a:p>
                <a:pPr>
                  <a:defRPr sz="93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0"/>
            <c:showCatName val="0"/>
            <c:showSerName val="0"/>
            <c:showPercent val="0"/>
            <c:showBubbleSize val="0"/>
            <c:extLst>
              <c:ext xmlns:c15="http://schemas.microsoft.com/office/drawing/2012/chart" uri="{CE6537A1-D6FC-4f65-9D91-7224C49458BB}"/>
            </c:extLst>
          </c:dLbls>
          <c:cat>
            <c:strRef>
              <c:f>Leht3!$B$11:$B$15</c:f>
              <c:strCache>
                <c:ptCount val="5"/>
                <c:pt idx="0">
                  <c:v>EMTA</c:v>
                </c:pt>
                <c:pt idx="1">
                  <c:v>e-STAT</c:v>
                </c:pt>
                <c:pt idx="2">
                  <c:v>TÖÖINSPEKTSIOON</c:v>
                </c:pt>
                <c:pt idx="3">
                  <c:v>KESKKONNATEENUSED</c:v>
                </c:pt>
                <c:pt idx="4">
                  <c:v>ÄRIREGISTER</c:v>
                </c:pt>
              </c:strCache>
            </c:strRef>
          </c:cat>
          <c:val>
            <c:numRef>
              <c:f>Leht3!$C$11:$C$15</c:f>
              <c:numCache>
                <c:formatCode>General</c:formatCode>
                <c:ptCount val="5"/>
                <c:pt idx="0">
                  <c:v>57</c:v>
                </c:pt>
                <c:pt idx="1">
                  <c:v>38</c:v>
                </c:pt>
                <c:pt idx="2">
                  <c:v>18</c:v>
                </c:pt>
                <c:pt idx="3">
                  <c:v>51</c:v>
                </c:pt>
                <c:pt idx="4">
                  <c:v>80</c:v>
                </c:pt>
              </c:numCache>
            </c:numRef>
          </c:val>
          <c:extLst>
            <c:ext xmlns:c16="http://schemas.microsoft.com/office/drawing/2014/chart" uri="{C3380CC4-5D6E-409C-BE32-E72D297353CC}">
              <c16:uniqueId val="{0000000A-59FD-43E0-9A97-8306A8E2B06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4200699912510936"/>
          <c:y val="0.80373833479148438"/>
          <c:w val="0.7632082239720035"/>
          <c:h val="0.16848388743073781"/>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title>
    <c:autoTitleDeleted val="0"/>
    <c:plotArea>
      <c:layout/>
      <c:barChart>
        <c:barDir val="bar"/>
        <c:grouping val="clustered"/>
        <c:varyColors val="0"/>
        <c:ser>
          <c:idx val="0"/>
          <c:order val="0"/>
          <c:tx>
            <c:strRef>
              <c:f>Leht3!$C$10</c:f>
              <c:strCache>
                <c:ptCount val="1"/>
                <c:pt idx="0">
                  <c:v>HINNANG</c:v>
                </c:pt>
              </c:strCache>
            </c:strRef>
          </c:tx>
          <c:spPr>
            <a:solidFill>
              <a:schemeClr val="accent1"/>
            </a:solidFill>
            <a:ln>
              <a:noFill/>
            </a:ln>
            <a:effectLst/>
          </c:spPr>
          <c:invertIfNegative val="0"/>
          <c:cat>
            <c:strRef>
              <c:f>Leht3!$B$11:$B$15</c:f>
              <c:strCache>
                <c:ptCount val="5"/>
                <c:pt idx="0">
                  <c:v>EMTA</c:v>
                </c:pt>
                <c:pt idx="1">
                  <c:v>e-STAT</c:v>
                </c:pt>
                <c:pt idx="2">
                  <c:v>TÖÖINSPEKTSIOON</c:v>
                </c:pt>
                <c:pt idx="3">
                  <c:v>KESKKONNATEENUSED</c:v>
                </c:pt>
                <c:pt idx="4">
                  <c:v>ÄRIREGISTER</c:v>
                </c:pt>
              </c:strCache>
            </c:strRef>
          </c:cat>
          <c:val>
            <c:numRef>
              <c:f>Leht3!$C$11:$C$15</c:f>
              <c:numCache>
                <c:formatCode>General</c:formatCode>
                <c:ptCount val="5"/>
                <c:pt idx="0">
                  <c:v>1.3</c:v>
                </c:pt>
                <c:pt idx="1">
                  <c:v>1.5</c:v>
                </c:pt>
                <c:pt idx="2">
                  <c:v>2</c:v>
                </c:pt>
                <c:pt idx="3">
                  <c:v>2</c:v>
                </c:pt>
                <c:pt idx="4">
                  <c:v>1</c:v>
                </c:pt>
              </c:numCache>
            </c:numRef>
          </c:val>
          <c:extLst>
            <c:ext xmlns:c16="http://schemas.microsoft.com/office/drawing/2014/chart" uri="{C3380CC4-5D6E-409C-BE32-E72D297353CC}">
              <c16:uniqueId val="{00000000-2FD9-4C65-AF56-9C9D678719D6}"/>
            </c:ext>
          </c:extLst>
        </c:ser>
        <c:dLbls>
          <c:showLegendKey val="0"/>
          <c:showVal val="0"/>
          <c:showCatName val="0"/>
          <c:showSerName val="0"/>
          <c:showPercent val="0"/>
          <c:showBubbleSize val="0"/>
        </c:dLbls>
        <c:gapWidth val="182"/>
        <c:axId val="62271663"/>
        <c:axId val="62273743"/>
      </c:barChart>
      <c:catAx>
        <c:axId val="622716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t-EE"/>
          </a:p>
        </c:txPr>
        <c:crossAx val="62273743"/>
        <c:crosses val="autoZero"/>
        <c:auto val="1"/>
        <c:lblAlgn val="ctr"/>
        <c:lblOffset val="100"/>
        <c:noMultiLvlLbl val="0"/>
      </c:catAx>
      <c:valAx>
        <c:axId val="62273743"/>
        <c:scaling>
          <c:orientation val="minMax"/>
          <c:min val="0.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62271663"/>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b="1">
                <a:solidFill>
                  <a:sysClr val="windowText" lastClr="000000"/>
                </a:solidFill>
                <a:latin typeface="Times New Roman" panose="02020603050405020304" pitchFamily="18" charset="0"/>
                <a:cs typeface="Times New Roman" panose="02020603050405020304" pitchFamily="18" charset="0"/>
              </a:rPr>
              <a:t>AJAKULU</a:t>
            </a:r>
            <a:r>
              <a:rPr lang="et-EE" b="1" baseline="0">
                <a:solidFill>
                  <a:sysClr val="windowText" lastClr="000000"/>
                </a:solidFill>
                <a:latin typeface="Times New Roman" panose="02020603050405020304" pitchFamily="18" charset="0"/>
                <a:cs typeface="Times New Roman" panose="02020603050405020304" pitchFamily="18" charset="0"/>
              </a:rPr>
              <a:t> (h)</a:t>
            </a:r>
            <a:endParaRPr lang="et-EE"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0.31554572314320228"/>
          <c:y val="0.17179422362832761"/>
          <c:w val="0.35658550074955975"/>
          <c:h val="0.5770072459785996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98-4AFC-9060-9B44C59319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198-4AFC-9060-9B44C59319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198-4AFC-9060-9B44C593196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198-4AFC-9060-9B44C593196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198-4AFC-9060-9B44C5931966}"/>
              </c:ext>
            </c:extLst>
          </c:dPt>
          <c:dLbls>
            <c:dLbl>
              <c:idx val="0"/>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198-4AFC-9060-9B44C5931966}"/>
                </c:ext>
              </c:extLst>
            </c:dLbl>
            <c:dLbl>
              <c:idx val="1"/>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198-4AFC-9060-9B44C5931966}"/>
                </c:ext>
              </c:extLst>
            </c:dLbl>
            <c:dLbl>
              <c:idx val="2"/>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198-4AFC-9060-9B44C5931966}"/>
                </c:ext>
              </c:extLst>
            </c:dLbl>
            <c:dLbl>
              <c:idx val="3"/>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198-4AFC-9060-9B44C5931966}"/>
                </c:ext>
              </c:extLst>
            </c:dLbl>
            <c:dLbl>
              <c:idx val="4"/>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198-4AFC-9060-9B44C5931966}"/>
                </c:ext>
              </c:extLst>
            </c:dLbl>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20" b="0" i="0" u="none" strike="noStrike" kern="1200" baseline="0">
                    <a:solidFill>
                      <a:sysClr val="windowText" lastClr="000000"/>
                    </a:solidFill>
                    <a:latin typeface="+mn-lt"/>
                    <a:ea typeface="+mn-ea"/>
                    <a:cs typeface="+mn-cs"/>
                  </a:defRPr>
                </a:pPr>
                <a:endParaRPr lang="et-EE"/>
              </a:p>
            </c:txPr>
            <c:dLblPos val="bestFit"/>
            <c:showLegendKey val="0"/>
            <c:showVal val="0"/>
            <c:showCatName val="0"/>
            <c:showSerName val="0"/>
            <c:showPercent val="0"/>
            <c:showBubbleSize val="0"/>
            <c:extLst>
              <c:ext xmlns:c15="http://schemas.microsoft.com/office/drawing/2012/chart" uri="{CE6537A1-D6FC-4f65-9D91-7224C49458BB}"/>
            </c:extLst>
          </c:dLbls>
          <c:cat>
            <c:strRef>
              <c:f>Leht2!$H$4:$H$8</c:f>
              <c:strCache>
                <c:ptCount val="5"/>
                <c:pt idx="0">
                  <c:v>EMTA</c:v>
                </c:pt>
                <c:pt idx="1">
                  <c:v>e-STAT</c:v>
                </c:pt>
                <c:pt idx="2">
                  <c:v>TÖÖINSPEKTSIOON</c:v>
                </c:pt>
                <c:pt idx="3">
                  <c:v>KESKKONNATEENUSED</c:v>
                </c:pt>
                <c:pt idx="4">
                  <c:v>ÄRIREGISTER</c:v>
                </c:pt>
              </c:strCache>
            </c:strRef>
          </c:cat>
          <c:val>
            <c:numRef>
              <c:f>Leht2!$I$4:$I$8</c:f>
              <c:numCache>
                <c:formatCode>General</c:formatCode>
                <c:ptCount val="5"/>
                <c:pt idx="0">
                  <c:v>107</c:v>
                </c:pt>
                <c:pt idx="1">
                  <c:v>63</c:v>
                </c:pt>
                <c:pt idx="2">
                  <c:v>7.5</c:v>
                </c:pt>
                <c:pt idx="3">
                  <c:v>44</c:v>
                </c:pt>
                <c:pt idx="4">
                  <c:v>60.5</c:v>
                </c:pt>
              </c:numCache>
            </c:numRef>
          </c:val>
          <c:extLst>
            <c:ext xmlns:c16="http://schemas.microsoft.com/office/drawing/2014/chart" uri="{C3380CC4-5D6E-409C-BE32-E72D297353CC}">
              <c16:uniqueId val="{0000000A-4198-4AFC-9060-9B44C593196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8.5753319652049034E-2"/>
          <c:y val="0.74726755699041791"/>
          <c:w val="0.8300395226759445"/>
          <c:h val="0.2241269602920612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t-EE" sz="1200" b="1">
                <a:solidFill>
                  <a:sysClr val="windowText" lastClr="000000"/>
                </a:solidFill>
                <a:latin typeface="Times New Roman" panose="02020603050405020304" pitchFamily="18" charset="0"/>
                <a:cs typeface="Times New Roman" panose="02020603050405020304" pitchFamily="18" charset="0"/>
              </a:rPr>
              <a:t>HINNANG</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title>
    <c:autoTitleDeleted val="0"/>
    <c:plotArea>
      <c:layout/>
      <c:barChart>
        <c:barDir val="bar"/>
        <c:grouping val="clustered"/>
        <c:varyColors val="0"/>
        <c:ser>
          <c:idx val="0"/>
          <c:order val="0"/>
          <c:tx>
            <c:strRef>
              <c:f>Leht2!$P$8</c:f>
              <c:strCache>
                <c:ptCount val="1"/>
                <c:pt idx="0">
                  <c:v>hinnang</c:v>
                </c:pt>
              </c:strCache>
            </c:strRef>
          </c:tx>
          <c:spPr>
            <a:solidFill>
              <a:schemeClr val="accent1"/>
            </a:solidFill>
            <a:ln>
              <a:noFill/>
            </a:ln>
            <a:effectLst/>
          </c:spPr>
          <c:invertIfNegative val="0"/>
          <c:cat>
            <c:strRef>
              <c:f>Leht2!$O$9:$O$13</c:f>
              <c:strCache>
                <c:ptCount val="5"/>
                <c:pt idx="0">
                  <c:v>EMTA</c:v>
                </c:pt>
                <c:pt idx="1">
                  <c:v>e-STAT</c:v>
                </c:pt>
                <c:pt idx="2">
                  <c:v>TÖÖINSPEKTSIOON</c:v>
                </c:pt>
                <c:pt idx="3">
                  <c:v>KESKKONNATEENUSED</c:v>
                </c:pt>
                <c:pt idx="4">
                  <c:v>ÄRIREGISTER</c:v>
                </c:pt>
              </c:strCache>
            </c:strRef>
          </c:cat>
          <c:val>
            <c:numRef>
              <c:f>Leht2!$P$9:$P$13</c:f>
              <c:numCache>
                <c:formatCode>General</c:formatCode>
                <c:ptCount val="5"/>
                <c:pt idx="0">
                  <c:v>1</c:v>
                </c:pt>
                <c:pt idx="1">
                  <c:v>1.8</c:v>
                </c:pt>
                <c:pt idx="2">
                  <c:v>1</c:v>
                </c:pt>
                <c:pt idx="3">
                  <c:v>3</c:v>
                </c:pt>
                <c:pt idx="4">
                  <c:v>1</c:v>
                </c:pt>
              </c:numCache>
            </c:numRef>
          </c:val>
          <c:extLst>
            <c:ext xmlns:c16="http://schemas.microsoft.com/office/drawing/2014/chart" uri="{C3380CC4-5D6E-409C-BE32-E72D297353CC}">
              <c16:uniqueId val="{00000000-7EAA-4450-B17C-1B8F1B71712C}"/>
            </c:ext>
          </c:extLst>
        </c:ser>
        <c:dLbls>
          <c:showLegendKey val="0"/>
          <c:showVal val="0"/>
          <c:showCatName val="0"/>
          <c:showSerName val="0"/>
          <c:showPercent val="0"/>
          <c:showBubbleSize val="0"/>
        </c:dLbls>
        <c:gapWidth val="182"/>
        <c:axId val="1624577487"/>
        <c:axId val="2028848031"/>
      </c:barChart>
      <c:catAx>
        <c:axId val="16245774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2028848031"/>
        <c:crosses val="autoZero"/>
        <c:auto val="1"/>
        <c:lblAlgn val="ctr"/>
        <c:lblOffset val="100"/>
        <c:noMultiLvlLbl val="0"/>
      </c:catAx>
      <c:valAx>
        <c:axId val="2028848031"/>
        <c:scaling>
          <c:orientation val="minMax"/>
          <c:max val="3"/>
          <c:min val="0.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16245774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title>
    <c:autoTitleDeleted val="0"/>
    <c:plotArea>
      <c:layout/>
      <c:barChart>
        <c:barDir val="bar"/>
        <c:grouping val="clustered"/>
        <c:varyColors val="0"/>
        <c:ser>
          <c:idx val="0"/>
          <c:order val="0"/>
          <c:tx>
            <c:strRef>
              <c:f>Leht2!$G$12</c:f>
              <c:strCache>
                <c:ptCount val="1"/>
                <c:pt idx="0">
                  <c:v>HINNANG</c:v>
                </c:pt>
              </c:strCache>
            </c:strRef>
          </c:tx>
          <c:spPr>
            <a:solidFill>
              <a:schemeClr val="accent1"/>
            </a:solidFill>
            <a:ln>
              <a:noFill/>
            </a:ln>
            <a:effectLst/>
          </c:spPr>
          <c:invertIfNegative val="0"/>
          <c:cat>
            <c:strRef>
              <c:f>Leht2!$F$13:$F$17</c:f>
              <c:strCache>
                <c:ptCount val="5"/>
                <c:pt idx="0">
                  <c:v>EMTA</c:v>
                </c:pt>
                <c:pt idx="1">
                  <c:v>E-STAT</c:v>
                </c:pt>
                <c:pt idx="2">
                  <c:v>TÖÖINSPEKTSIOON</c:v>
                </c:pt>
                <c:pt idx="3">
                  <c:v>KESKKONNATEENUSED</c:v>
                </c:pt>
                <c:pt idx="4">
                  <c:v>ÄRIREGISTER</c:v>
                </c:pt>
              </c:strCache>
            </c:strRef>
          </c:cat>
          <c:val>
            <c:numRef>
              <c:f>Leht2!$G$13:$G$17</c:f>
              <c:numCache>
                <c:formatCode>0.0</c:formatCode>
                <c:ptCount val="5"/>
                <c:pt idx="0">
                  <c:v>1.7</c:v>
                </c:pt>
                <c:pt idx="1">
                  <c:v>2.1</c:v>
                </c:pt>
                <c:pt idx="2" formatCode="General">
                  <c:v>2</c:v>
                </c:pt>
                <c:pt idx="3">
                  <c:v>2.2857142857142856</c:v>
                </c:pt>
                <c:pt idx="4" formatCode="General">
                  <c:v>1.5</c:v>
                </c:pt>
              </c:numCache>
            </c:numRef>
          </c:val>
          <c:extLst>
            <c:ext xmlns:c16="http://schemas.microsoft.com/office/drawing/2014/chart" uri="{C3380CC4-5D6E-409C-BE32-E72D297353CC}">
              <c16:uniqueId val="{00000000-7092-4577-ADC0-AF49E18613E2}"/>
            </c:ext>
          </c:extLst>
        </c:ser>
        <c:dLbls>
          <c:showLegendKey val="0"/>
          <c:showVal val="0"/>
          <c:showCatName val="0"/>
          <c:showSerName val="0"/>
          <c:showPercent val="0"/>
          <c:showBubbleSize val="0"/>
        </c:dLbls>
        <c:gapWidth val="182"/>
        <c:axId val="1121295840"/>
        <c:axId val="1281999728"/>
      </c:barChart>
      <c:catAx>
        <c:axId val="1121295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1281999728"/>
        <c:crosses val="autoZero"/>
        <c:auto val="1"/>
        <c:lblAlgn val="ctr"/>
        <c:lblOffset val="100"/>
        <c:noMultiLvlLbl val="0"/>
      </c:catAx>
      <c:valAx>
        <c:axId val="1281999728"/>
        <c:scaling>
          <c:orientation val="minMax"/>
          <c:max val="3"/>
          <c:min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112129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title>
    <c:autoTitleDeleted val="0"/>
    <c:plotArea>
      <c:layout/>
      <c:pieChart>
        <c:varyColors val="1"/>
        <c:ser>
          <c:idx val="0"/>
          <c:order val="0"/>
          <c:tx>
            <c:strRef>
              <c:f>Leht2!$G$1</c:f>
              <c:strCache>
                <c:ptCount val="1"/>
                <c:pt idx="0">
                  <c:v>AJAKULU (h)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03-46E7-8576-1C670ADDEF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03-46E7-8576-1C670ADDEF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03-46E7-8576-1C670ADDEFC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03-46E7-8576-1C670ADDEFC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903-46E7-8576-1C670ADDEFCA}"/>
              </c:ext>
            </c:extLst>
          </c:dPt>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t-E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Leht2!$F$2:$F$6</c:f>
              <c:strCache>
                <c:ptCount val="5"/>
                <c:pt idx="0">
                  <c:v>EMTA</c:v>
                </c:pt>
                <c:pt idx="1">
                  <c:v>e-STAT</c:v>
                </c:pt>
                <c:pt idx="2">
                  <c:v>TÖÖINSPEKSIOON</c:v>
                </c:pt>
                <c:pt idx="3">
                  <c:v>KESKKONNATEENUSED</c:v>
                </c:pt>
                <c:pt idx="4">
                  <c:v>ÄRIREGISTER</c:v>
                </c:pt>
              </c:strCache>
            </c:strRef>
          </c:cat>
          <c:val>
            <c:numRef>
              <c:f>Leht2!$G$2:$G$6</c:f>
              <c:numCache>
                <c:formatCode>General</c:formatCode>
                <c:ptCount val="5"/>
                <c:pt idx="0">
                  <c:v>154</c:v>
                </c:pt>
                <c:pt idx="1">
                  <c:v>213</c:v>
                </c:pt>
                <c:pt idx="2">
                  <c:v>7</c:v>
                </c:pt>
                <c:pt idx="3">
                  <c:v>596</c:v>
                </c:pt>
                <c:pt idx="4">
                  <c:v>10</c:v>
                </c:pt>
              </c:numCache>
            </c:numRef>
          </c:val>
          <c:extLst>
            <c:ext xmlns:c16="http://schemas.microsoft.com/office/drawing/2014/chart" uri="{C3380CC4-5D6E-409C-BE32-E72D297353CC}">
              <c16:uniqueId val="{0000000A-E903-46E7-8576-1C670ADDEFC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title>
    <c:autoTitleDeleted val="0"/>
    <c:plotArea>
      <c:layout/>
      <c:barChart>
        <c:barDir val="bar"/>
        <c:grouping val="clustered"/>
        <c:varyColors val="0"/>
        <c:ser>
          <c:idx val="0"/>
          <c:order val="0"/>
          <c:tx>
            <c:strRef>
              <c:f>Leht2!$H$9</c:f>
              <c:strCache>
                <c:ptCount val="1"/>
                <c:pt idx="0">
                  <c:v>HINNANG</c:v>
                </c:pt>
              </c:strCache>
            </c:strRef>
          </c:tx>
          <c:spPr>
            <a:solidFill>
              <a:schemeClr val="accent1"/>
            </a:solidFill>
            <a:ln>
              <a:noFill/>
            </a:ln>
            <a:effectLst/>
          </c:spPr>
          <c:invertIfNegative val="0"/>
          <c:cat>
            <c:strRef>
              <c:f>Leht2!$G$10:$G$13</c:f>
              <c:strCache>
                <c:ptCount val="4"/>
                <c:pt idx="0">
                  <c:v>EMTA</c:v>
                </c:pt>
                <c:pt idx="1">
                  <c:v>e-STAT</c:v>
                </c:pt>
                <c:pt idx="2">
                  <c:v>TÖÖINSPEKTSIOON</c:v>
                </c:pt>
                <c:pt idx="3">
                  <c:v>ÄRIREGISTER</c:v>
                </c:pt>
              </c:strCache>
            </c:strRef>
          </c:cat>
          <c:val>
            <c:numRef>
              <c:f>Leht2!$H$10:$H$13</c:f>
              <c:numCache>
                <c:formatCode>General</c:formatCode>
                <c:ptCount val="4"/>
                <c:pt idx="0" formatCode="0.0">
                  <c:v>0.33333333333333331</c:v>
                </c:pt>
                <c:pt idx="1">
                  <c:v>2</c:v>
                </c:pt>
                <c:pt idx="2">
                  <c:v>1</c:v>
                </c:pt>
                <c:pt idx="3">
                  <c:v>3</c:v>
                </c:pt>
              </c:numCache>
            </c:numRef>
          </c:val>
          <c:extLst>
            <c:ext xmlns:c16="http://schemas.microsoft.com/office/drawing/2014/chart" uri="{C3380CC4-5D6E-409C-BE32-E72D297353CC}">
              <c16:uniqueId val="{00000000-41FB-4C8A-9903-910E382ACF18}"/>
            </c:ext>
          </c:extLst>
        </c:ser>
        <c:dLbls>
          <c:showLegendKey val="0"/>
          <c:showVal val="0"/>
          <c:showCatName val="0"/>
          <c:showSerName val="0"/>
          <c:showPercent val="0"/>
          <c:showBubbleSize val="0"/>
        </c:dLbls>
        <c:gapWidth val="182"/>
        <c:axId val="1020389151"/>
        <c:axId val="1021099919"/>
      </c:barChart>
      <c:catAx>
        <c:axId val="10203891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1021099919"/>
        <c:crosses val="autoZero"/>
        <c:auto val="1"/>
        <c:lblAlgn val="ctr"/>
        <c:lblOffset val="100"/>
        <c:noMultiLvlLbl val="0"/>
      </c:catAx>
      <c:valAx>
        <c:axId val="1021099919"/>
        <c:scaling>
          <c:orientation val="minMax"/>
          <c:max val="3"/>
          <c:min val="0.5"/>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10203891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t-EE"/>
              <a:t>AJAKULU (h)</a:t>
            </a:r>
          </a:p>
        </c:rich>
      </c:tx>
      <c:layout>
        <c:manualLayout>
          <c:xMode val="edge"/>
          <c:yMode val="edge"/>
          <c:x val="0.40463188976377951"/>
          <c:y val="6.0185185185185182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title>
    <c:autoTitleDeleted val="0"/>
    <c:plotArea>
      <c:layout/>
      <c:pieChart>
        <c:varyColors val="1"/>
        <c:ser>
          <c:idx val="0"/>
          <c:order val="0"/>
          <c:tx>
            <c:strRef>
              <c:f>Leht2!$G$1</c:f>
              <c:strCache>
                <c:ptCount val="1"/>
                <c:pt idx="0">
                  <c:v>AJAKULU(h)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A8C-4A80-B1C7-7D02CA46FF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A8C-4A80-B1C7-7D02CA46FF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A8C-4A80-B1C7-7D02CA46FF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A8C-4A80-B1C7-7D02CA46FF33}"/>
              </c:ext>
            </c:extLst>
          </c:dPt>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t-E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Leht2!$F$2:$F$5</c:f>
              <c:strCache>
                <c:ptCount val="4"/>
                <c:pt idx="0">
                  <c:v>EMTA</c:v>
                </c:pt>
                <c:pt idx="1">
                  <c:v>e-STAT</c:v>
                </c:pt>
                <c:pt idx="2">
                  <c:v>TÖÖINSPEKTSIOON</c:v>
                </c:pt>
                <c:pt idx="3">
                  <c:v>ÄRIREGISTER</c:v>
                </c:pt>
              </c:strCache>
            </c:strRef>
          </c:cat>
          <c:val>
            <c:numRef>
              <c:f>Leht2!$G$2:$G$5</c:f>
              <c:numCache>
                <c:formatCode>General</c:formatCode>
                <c:ptCount val="4"/>
                <c:pt idx="0">
                  <c:v>13.5</c:v>
                </c:pt>
                <c:pt idx="1">
                  <c:v>9</c:v>
                </c:pt>
                <c:pt idx="2">
                  <c:v>0</c:v>
                </c:pt>
                <c:pt idx="3">
                  <c:v>3</c:v>
                </c:pt>
              </c:numCache>
            </c:numRef>
          </c:val>
          <c:extLst>
            <c:ext xmlns:c16="http://schemas.microsoft.com/office/drawing/2014/chart" uri="{C3380CC4-5D6E-409C-BE32-E72D297353CC}">
              <c16:uniqueId val="{00000008-CA8C-4A80-B1C7-7D02CA46FF3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Leht3!$K$2:$K$6</cx:f>
        <cx:lvl ptCount="5">
          <cx:pt idx="0">EMTA</cx:pt>
          <cx:pt idx="1">e-STAT</cx:pt>
          <cx:pt idx="2">Tööinspektsioon</cx:pt>
          <cx:pt idx="3">Äriregister</cx:pt>
          <cx:pt idx="4">Keskkonnateenused</cx:pt>
        </cx:lvl>
      </cx:strDim>
      <cx:numDim type="size">
        <cx:f>Leht3!$L$2:$L$6</cx:f>
        <cx:lvl ptCount="5" formatCode="General">
          <cx:pt idx="0">1.6000000000000001</cx:pt>
          <cx:pt idx="1">1.8999999999999999</cx:pt>
          <cx:pt idx="2">1.5</cx:pt>
          <cx:pt idx="3">1.3</cx:pt>
          <cx:pt idx="4">1.8</cx:pt>
        </cx:lvl>
      </cx:numDim>
    </cx:data>
  </cx:chartData>
  <cx:chart>
    <cx:title pos="t" align="ctr" overlay="0">
      <cx:tx>
        <cx:rich>
          <a:bodyPr spcFirstLastPara="1" vertOverflow="ellipsis" wrap="square" lIns="0" tIns="0" rIns="0" bIns="0" anchor="ctr" anchorCtr="1"/>
          <a:lstStyle/>
          <a:p>
            <a:pPr algn="ctr">
              <a:defRPr b="1">
                <a:latin typeface="Times New Roman" panose="02020603050405020304" pitchFamily="18" charset="0"/>
                <a:ea typeface="Times New Roman" panose="02020603050405020304" pitchFamily="18" charset="0"/>
                <a:cs typeface="Times New Roman" panose="02020603050405020304" pitchFamily="18" charset="0"/>
              </a:defRPr>
            </a:pPr>
            <a:r>
              <a:rPr lang="et-EE" b="1">
                <a:solidFill>
                  <a:sysClr val="windowText" lastClr="000000"/>
                </a:solidFill>
                <a:latin typeface="Times New Roman" panose="02020603050405020304" pitchFamily="18" charset="0"/>
                <a:cs typeface="Times New Roman" panose="02020603050405020304" pitchFamily="18" charset="0"/>
              </a:rPr>
              <a:t>RAHULOLU </a:t>
            </a:r>
          </a:p>
        </cx:rich>
      </cx:tx>
    </cx:title>
    <cx:plotArea>
      <cx:plotAreaRegion>
        <cx:series layoutId="sunburst" uniqueId="{72DC8C57-DF12-4F15-95D2-465D57A70703}">
          <cx:dataLabels pos="ctr">
            <cx:txPr>
              <a:bodyPr spcFirstLastPara="1" vertOverflow="ellipsis" wrap="square" lIns="0" tIns="0" rIns="0" bIns="0" anchor="ctr" anchorCtr="1">
                <a:spAutoFit/>
              </a:bodyPr>
              <a:lstStyle/>
              <a:p>
                <a:pPr>
                  <a:defRPr lang="et-EE" sz="850" b="1" i="0" u="none" strike="noStrike" kern="1200" baseline="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et-EE" b="1">
                  <a:solidFill>
                    <a:sysClr val="windowText" lastClr="000000"/>
                  </a:solidFill>
                  <a:latin typeface="Times New Roman" panose="02020603050405020304" pitchFamily="18" charset="0"/>
                  <a:cs typeface="Times New Roman" panose="02020603050405020304" pitchFamily="18" charset="0"/>
                </a:endParaRPr>
              </a:p>
            </cx:txPr>
            <cx:visibility seriesName="0" categoryName="1" value="0"/>
          </cx:dataLabels>
          <cx:dataId val="0"/>
        </cx:series>
      </cx:plotAreaRegion>
    </cx:plotArea>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Leht3!$D$11:$D$15</cx:f>
        <cx:lvl ptCount="5">
          <cx:pt idx="0">EMTA</cx:pt>
          <cx:pt idx="1">e-STAT</cx:pt>
          <cx:pt idx="2">Tööinspektsioon</cx:pt>
          <cx:pt idx="3">Äriregister</cx:pt>
          <cx:pt idx="4">Keskkonnateenused</cx:pt>
        </cx:lvl>
      </cx:strDim>
      <cx:numDim type="size">
        <cx:f>Leht3!$E$11:$E$15</cx:f>
        <cx:lvl ptCount="5" formatCode="0,0">
          <cx:pt idx="0">82.875</cx:pt>
          <cx:pt idx="1">27.5</cx:pt>
          <cx:pt idx="2">6.375</cx:pt>
          <cx:pt idx="3">38.399999999999999</cx:pt>
          <cx:pt idx="4">172.75</cx:pt>
        </cx:lvl>
      </cx:numDim>
    </cx:data>
  </cx:chartData>
  <cx:chart>
    <cx:title pos="t" align="ctr" overlay="0">
      <cx:tx>
        <cx:rich>
          <a:bodyPr spcFirstLastPara="1" vertOverflow="ellipsis" wrap="square" lIns="0" tIns="0" rIns="0" bIns="0" anchor="ctr" anchorCtr="1"/>
          <a:lstStyle/>
          <a:p>
            <a:pPr algn="ctr">
              <a:defRPr/>
            </a:pPr>
            <a:r>
              <a:rPr lang="et-EE" sz="1600">
                <a:solidFill>
                  <a:sysClr val="windowText" lastClr="000000"/>
                </a:solidFill>
                <a:latin typeface="Times New Roman" panose="02020603050405020304" pitchFamily="18" charset="0"/>
                <a:cs typeface="Times New Roman" panose="02020603050405020304" pitchFamily="18" charset="0"/>
              </a:rPr>
              <a:t>AJAKULU</a:t>
            </a:r>
          </a:p>
        </cx:rich>
      </cx:tx>
    </cx:title>
    <cx:plotArea>
      <cx:plotAreaRegion>
        <cx:series layoutId="sunburst" uniqueId="{35721C7A-7C4B-4C1F-8C99-9E72B4B2DCA5}">
          <cx:dataLabels pos="ctr">
            <cx:txPr>
              <a:bodyPr spcFirstLastPara="1" vertOverflow="ellipsis" wrap="square" lIns="0" tIns="0" rIns="0" bIns="0" anchor="ctr" anchorCtr="1">
                <a:spAutoFit/>
              </a:bodyPr>
              <a:lstStyle/>
              <a:p>
                <a:pPr>
                  <a:defRPr lang="et-EE" sz="1000" b="1" i="0" u="none" strike="noStrike" kern="1200" baseline="0">
                    <a:solidFill>
                      <a:sysClr val="window" lastClr="FFFFFF"/>
                    </a:solidFill>
                    <a:latin typeface="Calibri" panose="020F0502020204030204"/>
                  </a:defRPr>
                </a:pPr>
                <a:endParaRPr lang="et-EE"/>
              </a:p>
            </cx:txPr>
            <cx:visibility seriesName="0" categoryName="1" value="0"/>
          </cx:dataLabels>
          <cx:dataId val="0"/>
        </cx:series>
      </cx:plotAreaRegion>
    </cx:plotArea>
    <cx:legend pos="r" align="ctr" overlay="0">
      <cx:txPr>
        <a:bodyPr spcFirstLastPara="1" vertOverflow="ellipsis" wrap="square" lIns="0" tIns="0" rIns="0" bIns="0" anchor="ctr" anchorCtr="1"/>
        <a:lstStyle/>
        <a:p>
          <a:pPr>
            <a:defRPr lang="et-EE" sz="1200" b="0" i="0" u="none" strike="noStrike" baseline="0">
              <a:solidFill>
                <a:sysClr val="windowText" lastClr="000000">
                  <a:lumMod val="75000"/>
                  <a:lumOff val="25000"/>
                </a:sysClr>
              </a:solidFill>
              <a:latin typeface="Times New Roman" panose="02020603050405020304" pitchFamily="18" charset="0"/>
              <a:ea typeface="Times New Roman" panose="02020603050405020304" pitchFamily="18" charset="0"/>
              <a:cs typeface="Times New Roman" panose="02020603050405020304" pitchFamily="18" charset="0"/>
            </a:defRPr>
          </a:pPr>
          <a:endParaRPr lang="et-EE" sz="1200">
            <a:latin typeface="Times New Roman" panose="02020603050405020304" pitchFamily="18" charset="0"/>
            <a:cs typeface="Times New Roman" panose="02020603050405020304" pitchFamily="18" charset="0"/>
          </a:endParaRPr>
        </a:p>
      </cx:txPr>
    </cx:legend>
  </cx:chart>
  <cx:spPr>
    <a:noFill/>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83">
  <cs:axisTitle>
    <cs:lnRef idx="0"/>
    <cs:fillRef idx="0"/>
    <cs:effectRef idx="0"/>
    <cs:fontRef idx="minor">
      <a:schemeClr val="dk1">
        <a:lumMod val="75000"/>
        <a:lumOff val="25000"/>
      </a:schemeClr>
    </cs:fontRef>
    <cs:defRPr sz="9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lIns="38100" tIns="19050" rIns="38100" bIns="19050">
      <a:spAutoFit/>
    </cs:bodyPr>
  </cs:dataLabel>
  <cs:dataLabelCallout>
    <cs:lnRef idx="0"/>
    <cs:fillRef idx="0"/>
    <cs:effectRef idx="0"/>
    <cs:fontRef idx="minor">
      <a:schemeClr val="dk1">
        <a:lumMod val="75000"/>
        <a:lumOff val="25000"/>
      </a:schemeClr>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ln w="9525">
        <a:solidFill>
          <a:schemeClr val="phClr">
            <a:lumMod val="50000"/>
          </a:schemeClr>
        </a:solidFill>
      </a:ln>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75000"/>
        <a:lumOff val="25000"/>
      </a:schemeClr>
    </cs:fontRef>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lumOff val="10000"/>
              </a:schemeClr>
            </a:gs>
            <a:gs pos="0">
              <a:schemeClr val="lt1">
                <a:lumMod val="75000"/>
                <a:alpha val="36000"/>
                <a:lumOff val="10000"/>
              </a:schemeClr>
            </a:gs>
          </a:gsLst>
          <a:lin ang="5400000" scaled="0"/>
        </a:gradFill>
      </a:ln>
    </cs:spPr>
  </cs:gridlineMinor>
  <cs:hiLoLine>
    <cs:lnRef idx="0"/>
    <cs:fillRef idx="0"/>
    <cs:effectRef idx="0"/>
    <cs:fontRef idx="minor">
      <a:schemeClr val="dk1"/>
    </cs:fontRef>
  </cs:hiLoLine>
  <cs:leaderLine>
    <cs:lnRef idx="0"/>
    <cs:fillRef idx="0"/>
    <cs:effectRef idx="0"/>
    <cs:fontRef idx="minor">
      <a:schemeClr val="dk1"/>
    </cs:fontRef>
  </cs:leaderLine>
  <cs:legend>
    <cs:lnRef idx="0"/>
    <cs:fillRef idx="0"/>
    <cs:effectRef idx="0"/>
    <cs:fontRef idx="minor">
      <a:schemeClr val="dk1">
        <a:lumMod val="75000"/>
        <a:lumOff val="25000"/>
      </a:schemeClr>
    </cs:fontRef>
    <cs:spPr>
      <a:solidFill>
        <a:schemeClr val="lt1">
          <a:lumMod val="95000"/>
          <a:alpha val="39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dk1">
        <a:lumMod val="75000"/>
        <a:lumOff val="25000"/>
      </a:schemeClr>
    </cs:fontRef>
    <cs:defRPr sz="1800" b="1" kern="1200" baseline="0"/>
    <cs:body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75000"/>
        <a:lumOff val="2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75000"/>
        <a:lumOff val="25000"/>
      </a:schemeClr>
    </cs:fontRef>
    <cs:defRPr sz="9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50" kern="1200"/>
    <cs:bodyPr wrap="square" lIns="38100" tIns="19050" rIns="38100" bIns="19050" anchor="ctr">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9525">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3177</Words>
  <Characters>18433</Characters>
  <Application>Microsoft Office Word</Application>
  <DocSecurity>0</DocSecurity>
  <Lines>153</Lines>
  <Paragraphs>43</Paragraphs>
  <ScaleCrop>false</ScaleCrop>
  <HeadingPairs>
    <vt:vector size="2" baseType="variant">
      <vt:variant>
        <vt:lpstr>Pealkiri</vt:lpstr>
      </vt:variant>
      <vt:variant>
        <vt:i4>1</vt:i4>
      </vt:variant>
    </vt:vector>
  </HeadingPairs>
  <TitlesOfParts>
    <vt:vector size="1" baseType="lpstr">
      <vt:lpstr/>
    </vt:vector>
  </TitlesOfParts>
  <Company>Registrite ja Infosüsteemide Keskus</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Agnessa Koobas</dc:creator>
  <cp:keywords/>
  <dc:description/>
  <cp:lastModifiedBy>Elis Prangli</cp:lastModifiedBy>
  <cp:revision>3</cp:revision>
  <dcterms:created xsi:type="dcterms:W3CDTF">2019-07-03T07:32:00Z</dcterms:created>
  <dcterms:modified xsi:type="dcterms:W3CDTF">2019-07-03T07:39:00Z</dcterms:modified>
</cp:coreProperties>
</file>