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6E" w:rsidRPr="007611A4" w:rsidRDefault="005C416E" w:rsidP="00854620">
      <w:pPr>
        <w:ind w:right="-648"/>
        <w:outlineLvl w:val="0"/>
        <w:rPr>
          <w:rFonts w:ascii="Roboto" w:hAnsi="Roboto" w:cs="Arial"/>
          <w:lang w:val="et-EE"/>
        </w:rPr>
      </w:pPr>
    </w:p>
    <w:p w:rsidR="00152A47" w:rsidRPr="007611A4" w:rsidRDefault="00152A47" w:rsidP="007D2C47">
      <w:pPr>
        <w:rPr>
          <w:rFonts w:ascii="Roboto" w:hAnsi="Roboto"/>
          <w:lang w:val="et-EE"/>
        </w:rPr>
      </w:pPr>
    </w:p>
    <w:tbl>
      <w:tblPr>
        <w:tblW w:w="9072" w:type="dxa"/>
        <w:tblLayout w:type="fixed"/>
        <w:tblCellMar>
          <w:left w:w="0" w:type="dxa"/>
          <w:right w:w="0" w:type="dxa"/>
        </w:tblCellMar>
        <w:tblLook w:val="0000" w:firstRow="0" w:lastRow="0" w:firstColumn="0" w:lastColumn="0" w:noHBand="0" w:noVBand="0"/>
      </w:tblPr>
      <w:tblGrid>
        <w:gridCol w:w="9072"/>
      </w:tblGrid>
      <w:tr w:rsidR="00971254" w:rsidRPr="007611A4" w:rsidTr="009223A7">
        <w:trPr>
          <w:trHeight w:val="851"/>
        </w:trPr>
        <w:tc>
          <w:tcPr>
            <w:tcW w:w="9072" w:type="dxa"/>
          </w:tcPr>
          <w:p w:rsidR="00971254" w:rsidRPr="007611A4" w:rsidRDefault="00971254" w:rsidP="00971254">
            <w:pPr>
              <w:pStyle w:val="Title"/>
              <w:spacing w:before="120" w:after="0"/>
              <w:rPr>
                <w:rFonts w:ascii="Roboto" w:hAnsi="Roboto" w:cs="Arial"/>
                <w:sz w:val="20"/>
                <w:lang w:val="et-EE"/>
              </w:rPr>
            </w:pPr>
            <w:r w:rsidRPr="007611A4">
              <w:rPr>
                <w:rFonts w:ascii="Roboto" w:hAnsi="Roboto" w:cs="Arial"/>
                <w:sz w:val="20"/>
                <w:lang w:val="et-EE"/>
              </w:rPr>
              <w:t>MEMO</w:t>
            </w:r>
          </w:p>
          <w:p w:rsidR="00971254" w:rsidRPr="007611A4" w:rsidRDefault="00971254" w:rsidP="009223A7">
            <w:pPr>
              <w:pStyle w:val="Kuupev"/>
              <w:rPr>
                <w:rFonts w:ascii="Roboto" w:hAnsi="Roboto"/>
                <w:sz w:val="20"/>
                <w:szCs w:val="20"/>
              </w:rPr>
            </w:pPr>
          </w:p>
        </w:tc>
      </w:tr>
      <w:tr w:rsidR="00971254" w:rsidRPr="007611A4" w:rsidTr="009223A7">
        <w:trPr>
          <w:trHeight w:val="284"/>
        </w:trPr>
        <w:tc>
          <w:tcPr>
            <w:tcW w:w="9072" w:type="dxa"/>
          </w:tcPr>
          <w:p w:rsidR="00971254" w:rsidRPr="007611A4" w:rsidRDefault="00971254" w:rsidP="009223A7">
            <w:pPr>
              <w:rPr>
                <w:rFonts w:ascii="Roboto" w:hAnsi="Roboto" w:cs="Arial"/>
                <w:lang w:val="et-EE"/>
              </w:rPr>
            </w:pPr>
            <w:r w:rsidRPr="007611A4">
              <w:rPr>
                <w:rFonts w:ascii="Roboto" w:hAnsi="Roboto" w:cs="Arial"/>
                <w:lang w:val="et-EE"/>
              </w:rPr>
              <w:t>Kellele:</w:t>
            </w:r>
            <w:r w:rsidR="009E13C9" w:rsidRPr="007611A4">
              <w:rPr>
                <w:rFonts w:ascii="Roboto" w:hAnsi="Roboto" w:cs="Arial"/>
                <w:lang w:val="et-EE"/>
              </w:rPr>
              <w:t xml:space="preserve"> Rahandusministeerium</w:t>
            </w:r>
          </w:p>
        </w:tc>
      </w:tr>
      <w:tr w:rsidR="00971254" w:rsidRPr="007611A4" w:rsidTr="009223A7">
        <w:trPr>
          <w:trHeight w:val="284"/>
        </w:trPr>
        <w:tc>
          <w:tcPr>
            <w:tcW w:w="9072" w:type="dxa"/>
          </w:tcPr>
          <w:p w:rsidR="00971254" w:rsidRPr="007611A4" w:rsidRDefault="00971254" w:rsidP="009223A7">
            <w:pPr>
              <w:rPr>
                <w:rFonts w:ascii="Roboto" w:hAnsi="Roboto" w:cs="Arial"/>
                <w:lang w:val="et-EE"/>
              </w:rPr>
            </w:pPr>
            <w:r w:rsidRPr="007611A4">
              <w:rPr>
                <w:rFonts w:ascii="Roboto" w:hAnsi="Roboto" w:cs="Arial"/>
                <w:lang w:val="et-EE"/>
              </w:rPr>
              <w:t>Koopia:</w:t>
            </w:r>
            <w:r w:rsidR="009E13C9" w:rsidRPr="007611A4">
              <w:rPr>
                <w:rFonts w:ascii="Roboto" w:hAnsi="Roboto" w:cs="Arial"/>
                <w:lang w:val="et-EE"/>
              </w:rPr>
              <w:t xml:space="preserve"> Justiitsministeerium</w:t>
            </w:r>
          </w:p>
        </w:tc>
      </w:tr>
      <w:tr w:rsidR="00971254" w:rsidRPr="007611A4" w:rsidTr="009223A7">
        <w:trPr>
          <w:trHeight w:val="284"/>
        </w:trPr>
        <w:tc>
          <w:tcPr>
            <w:tcW w:w="9072" w:type="dxa"/>
          </w:tcPr>
          <w:p w:rsidR="00971254" w:rsidRPr="007611A4" w:rsidRDefault="00971254" w:rsidP="009223A7">
            <w:pPr>
              <w:rPr>
                <w:rFonts w:ascii="Roboto" w:hAnsi="Roboto" w:cs="Arial"/>
                <w:lang w:val="et-EE"/>
              </w:rPr>
            </w:pPr>
            <w:r w:rsidRPr="007611A4">
              <w:rPr>
                <w:rFonts w:ascii="Roboto" w:hAnsi="Roboto" w:cs="Arial"/>
                <w:lang w:val="et-EE"/>
              </w:rPr>
              <w:t>Kellelt:</w:t>
            </w:r>
            <w:r w:rsidR="009E13C9" w:rsidRPr="007611A4">
              <w:rPr>
                <w:rFonts w:ascii="Roboto" w:hAnsi="Roboto" w:cs="Arial"/>
                <w:lang w:val="et-EE"/>
              </w:rPr>
              <w:t xml:space="preserve"> Statistikaamet</w:t>
            </w:r>
          </w:p>
        </w:tc>
      </w:tr>
      <w:tr w:rsidR="00971254" w:rsidRPr="007611A4" w:rsidTr="009223A7">
        <w:trPr>
          <w:trHeight w:val="284"/>
        </w:trPr>
        <w:tc>
          <w:tcPr>
            <w:tcW w:w="9072" w:type="dxa"/>
          </w:tcPr>
          <w:p w:rsidR="00971254" w:rsidRPr="007611A4" w:rsidRDefault="00971254" w:rsidP="00507529">
            <w:pPr>
              <w:rPr>
                <w:rFonts w:ascii="Roboto" w:hAnsi="Roboto" w:cs="Arial"/>
                <w:lang w:val="et-EE"/>
              </w:rPr>
            </w:pPr>
            <w:r w:rsidRPr="007611A4">
              <w:rPr>
                <w:rFonts w:ascii="Roboto" w:hAnsi="Roboto" w:cs="Arial"/>
                <w:lang w:val="et-EE"/>
              </w:rPr>
              <w:t>Kuupäev:</w:t>
            </w:r>
            <w:r w:rsidR="00507529">
              <w:rPr>
                <w:rFonts w:ascii="Roboto" w:hAnsi="Roboto" w:cs="Arial"/>
                <w:lang w:val="et-EE"/>
              </w:rPr>
              <w:t xml:space="preserve"> 09.09</w:t>
            </w:r>
            <w:r w:rsidR="009E13C9" w:rsidRPr="007611A4">
              <w:rPr>
                <w:rFonts w:ascii="Roboto" w:hAnsi="Roboto" w:cs="Arial"/>
                <w:lang w:val="et-EE"/>
              </w:rPr>
              <w:t>.2020</w:t>
            </w:r>
          </w:p>
        </w:tc>
      </w:tr>
      <w:tr w:rsidR="00971254" w:rsidRPr="007611A4" w:rsidTr="009223A7">
        <w:trPr>
          <w:trHeight w:val="284"/>
        </w:trPr>
        <w:tc>
          <w:tcPr>
            <w:tcW w:w="9072" w:type="dxa"/>
          </w:tcPr>
          <w:p w:rsidR="00971254" w:rsidRPr="007611A4" w:rsidRDefault="00971254" w:rsidP="007611A4">
            <w:pPr>
              <w:rPr>
                <w:rFonts w:ascii="Roboto" w:hAnsi="Roboto" w:cs="Arial"/>
                <w:lang w:val="et-EE"/>
              </w:rPr>
            </w:pPr>
            <w:r w:rsidRPr="007611A4">
              <w:rPr>
                <w:rFonts w:ascii="Roboto" w:hAnsi="Roboto" w:cs="Arial"/>
                <w:lang w:val="et-EE"/>
              </w:rPr>
              <w:t>Teema:</w:t>
            </w:r>
            <w:r w:rsidR="009E13C9" w:rsidRPr="007611A4">
              <w:rPr>
                <w:rFonts w:ascii="Roboto" w:hAnsi="Roboto" w:cs="Arial"/>
                <w:lang w:val="et-EE"/>
              </w:rPr>
              <w:t xml:space="preserve"> Ettepanek</w:t>
            </w:r>
            <w:r w:rsidR="007611A4">
              <w:rPr>
                <w:rFonts w:ascii="Roboto" w:hAnsi="Roboto" w:cs="Arial"/>
                <w:lang w:val="et-EE"/>
              </w:rPr>
              <w:t>ud</w:t>
            </w:r>
            <w:r w:rsidR="009E13C9" w:rsidRPr="007611A4">
              <w:rPr>
                <w:rFonts w:ascii="Roboto" w:hAnsi="Roboto" w:cs="Arial"/>
                <w:lang w:val="et-EE"/>
              </w:rPr>
              <w:t xml:space="preserve"> </w:t>
            </w:r>
            <w:r w:rsidR="007611A4">
              <w:rPr>
                <w:rFonts w:ascii="Roboto" w:hAnsi="Roboto" w:cs="Arial"/>
                <w:lang w:val="et-EE"/>
              </w:rPr>
              <w:t>majandusaasta aruannete esitamisega seoses</w:t>
            </w:r>
          </w:p>
        </w:tc>
      </w:tr>
    </w:tbl>
    <w:p w:rsidR="00971254" w:rsidRPr="007611A4" w:rsidRDefault="00971254" w:rsidP="007D2C47">
      <w:pPr>
        <w:rPr>
          <w:rFonts w:ascii="Roboto" w:hAnsi="Roboto"/>
          <w:lang w:val="et-EE"/>
        </w:rPr>
      </w:pPr>
    </w:p>
    <w:p w:rsidR="00E37A28" w:rsidRPr="00507529" w:rsidRDefault="006E5AD7" w:rsidP="006E5AD7">
      <w:pPr>
        <w:pStyle w:val="Title"/>
        <w:rPr>
          <w:lang w:val="et-EE"/>
        </w:rPr>
      </w:pPr>
      <w:r w:rsidRPr="00507529">
        <w:rPr>
          <w:lang w:val="et-EE"/>
        </w:rPr>
        <w:t>Kokkuvõte</w:t>
      </w:r>
    </w:p>
    <w:p w:rsidR="006E5AD7" w:rsidRPr="00C3459E" w:rsidRDefault="006E5AD7" w:rsidP="007D2C47">
      <w:pPr>
        <w:rPr>
          <w:rFonts w:ascii="Roboto" w:hAnsi="Roboto"/>
          <w:highlight w:val="yellow"/>
          <w:lang w:val="et-EE"/>
        </w:rPr>
      </w:pPr>
    </w:p>
    <w:p w:rsidR="006E5AD7" w:rsidRDefault="000F5074" w:rsidP="006E5AD7">
      <w:pPr>
        <w:jc w:val="both"/>
        <w:rPr>
          <w:rFonts w:ascii="Roboto" w:hAnsi="Roboto"/>
          <w:lang w:val="et-EE"/>
        </w:rPr>
      </w:pPr>
      <w:r w:rsidRPr="008D33A3">
        <w:rPr>
          <w:rFonts w:ascii="Roboto" w:hAnsi="Roboto"/>
          <w:lang w:val="et-EE"/>
        </w:rPr>
        <w:t>Elektrooniline majandusaasta aruannete esitamine on tänaseks juurutatud ja andmeesitajate poolt olulises osas kasutusse võetud. Statistikaamet on rakendanud ühekordse andmete esitamise printsiipi ja võtnud majandusaasta aruande andmed statistika tegemisel kasutusele, vähendades sellega andmeesitajate halduskoormust.</w:t>
      </w:r>
    </w:p>
    <w:p w:rsidR="00507529" w:rsidRDefault="00507529" w:rsidP="00507529">
      <w:pPr>
        <w:jc w:val="both"/>
        <w:rPr>
          <w:rFonts w:ascii="Roboto" w:hAnsi="Roboto" w:cs="Arial"/>
          <w:lang w:val="et-EE"/>
        </w:rPr>
      </w:pPr>
    </w:p>
    <w:p w:rsidR="00507529" w:rsidRDefault="00507529" w:rsidP="00507529">
      <w:pPr>
        <w:jc w:val="both"/>
        <w:rPr>
          <w:rFonts w:ascii="Roboto" w:hAnsi="Roboto" w:cs="Arial"/>
          <w:lang w:val="et-EE"/>
        </w:rPr>
      </w:pPr>
      <w:r>
        <w:rPr>
          <w:rFonts w:ascii="Roboto" w:hAnsi="Roboto" w:cs="Arial"/>
          <w:lang w:val="et-EE"/>
        </w:rPr>
        <w:t xml:space="preserve">Vaatamata tehtud pingutustele ei laeku majandusaasta aruanded õigeaegselt. </w:t>
      </w:r>
      <w:r w:rsidRPr="00507529">
        <w:rPr>
          <w:rFonts w:ascii="Roboto" w:hAnsi="Roboto" w:cs="Arial"/>
          <w:lang w:val="et-EE"/>
        </w:rPr>
        <w:t xml:space="preserve">Selleks, et saaks jätkata riigile esitatud andmete ristkasutamisega (VVTP 3.13) ja täiendavalt vähendata ettevõtjate halduskoormust (VVTP 12.5, 13.2), oleks vaja </w:t>
      </w:r>
      <w:r>
        <w:rPr>
          <w:rFonts w:ascii="Roboto" w:hAnsi="Roboto" w:cs="Arial"/>
          <w:lang w:val="et-EE"/>
        </w:rPr>
        <w:t>vaadata üle majandusaasta aruande esitamise tähtajad ja rakendada õigeaegset esitamist toetavad meetmed.</w:t>
      </w:r>
    </w:p>
    <w:p w:rsidR="00507529" w:rsidRPr="00507529" w:rsidRDefault="00507529" w:rsidP="00507529">
      <w:pPr>
        <w:jc w:val="both"/>
        <w:rPr>
          <w:rFonts w:ascii="Roboto" w:hAnsi="Roboto" w:cs="Arial"/>
          <w:lang w:val="et-EE"/>
        </w:rPr>
      </w:pPr>
    </w:p>
    <w:p w:rsidR="000F5074" w:rsidRPr="007611A4" w:rsidRDefault="00507529" w:rsidP="00507529">
      <w:pPr>
        <w:jc w:val="both"/>
        <w:rPr>
          <w:rFonts w:ascii="Roboto" w:hAnsi="Roboto" w:cs="Arial"/>
          <w:lang w:val="et-EE"/>
        </w:rPr>
      </w:pPr>
      <w:r>
        <w:rPr>
          <w:rFonts w:ascii="Roboto" w:hAnsi="Roboto" w:cs="Arial"/>
          <w:lang w:val="et-EE"/>
        </w:rPr>
        <w:t xml:space="preserve">Statistikaamet soovib alustada arutelusid asjasse puutuvate ministeeriumite ja </w:t>
      </w:r>
      <w:r w:rsidRPr="00D60820">
        <w:rPr>
          <w:rFonts w:ascii="Roboto" w:hAnsi="Roboto" w:cs="Arial"/>
          <w:lang w:val="et-EE"/>
        </w:rPr>
        <w:t>kõikide erialaliitude esindajatega, tagamaks selge ja läbipaistev selgitus majandusaasta aruannete esitamise tähtaja muutmiseks</w:t>
      </w:r>
      <w:r w:rsidR="00E66D43">
        <w:rPr>
          <w:rFonts w:ascii="Roboto" w:hAnsi="Roboto" w:cs="Arial"/>
          <w:lang w:val="et-EE"/>
        </w:rPr>
        <w:t>. Selle eesmärgiga on Statistikaamet koostanud memo, koondades kokku informatsiooni tänasest olukorrast, lahendamist vajavatest kitsaskohtadest ja esitab enda ettepanekud aruteludeks.</w:t>
      </w:r>
    </w:p>
    <w:p w:rsidR="006319F0" w:rsidRPr="007611A4" w:rsidRDefault="009B3F98" w:rsidP="00662493">
      <w:pPr>
        <w:pStyle w:val="Title"/>
        <w:rPr>
          <w:lang w:val="et-EE"/>
        </w:rPr>
      </w:pPr>
      <w:r>
        <w:rPr>
          <w:lang w:val="et-EE"/>
        </w:rPr>
        <w:br w:type="page"/>
      </w:r>
      <w:r w:rsidR="000F112E" w:rsidRPr="007611A4">
        <w:rPr>
          <w:lang w:val="et-EE"/>
        </w:rPr>
        <w:lastRenderedPageBreak/>
        <w:t>Ülevaade tänasest olukorrast</w:t>
      </w:r>
    </w:p>
    <w:p w:rsidR="008F3752" w:rsidRPr="00D60820" w:rsidRDefault="0040762C" w:rsidP="00D60820">
      <w:pPr>
        <w:pStyle w:val="Title"/>
        <w:rPr>
          <w:rStyle w:val="Emphasis"/>
          <w:lang w:val="et-EE"/>
        </w:rPr>
      </w:pPr>
      <w:r w:rsidRPr="00D60820">
        <w:rPr>
          <w:rStyle w:val="Emphasis"/>
          <w:lang w:val="et-EE"/>
        </w:rPr>
        <w:t>Majandusaasta aruannete kasutamine statistikas</w:t>
      </w:r>
    </w:p>
    <w:p w:rsidR="0040762C" w:rsidRPr="007611A4" w:rsidRDefault="0040762C" w:rsidP="00F11B48">
      <w:pPr>
        <w:jc w:val="both"/>
        <w:rPr>
          <w:rFonts w:ascii="Roboto" w:hAnsi="Roboto" w:cs="Arial"/>
          <w:lang w:val="et-EE"/>
        </w:rPr>
      </w:pPr>
    </w:p>
    <w:p w:rsidR="008F3752" w:rsidRPr="007611A4" w:rsidRDefault="008F3752" w:rsidP="008F3752">
      <w:pPr>
        <w:pStyle w:val="ListParagraph"/>
        <w:numPr>
          <w:ilvl w:val="0"/>
          <w:numId w:val="13"/>
        </w:numPr>
        <w:ind w:left="360"/>
        <w:jc w:val="both"/>
      </w:pPr>
      <w:r w:rsidRPr="007611A4">
        <w:t xml:space="preserve">Statistikaamet </w:t>
      </w:r>
      <w:r w:rsidR="005E023E" w:rsidRPr="007611A4">
        <w:t>kasutab majandusaasta aruannetest</w:t>
      </w:r>
      <w:r w:rsidR="00F91123" w:rsidRPr="007611A4">
        <w:t xml:space="preserve"> (</w:t>
      </w:r>
      <w:r w:rsidR="00F91123" w:rsidRPr="007611A4">
        <w:rPr>
          <w:i/>
        </w:rPr>
        <w:t xml:space="preserve">edaspidi </w:t>
      </w:r>
      <w:r w:rsidR="00F91123" w:rsidRPr="007611A4">
        <w:t>MAA)</w:t>
      </w:r>
      <w:r w:rsidR="005E023E" w:rsidRPr="007611A4">
        <w:t xml:space="preserve"> saadavat infot lisaks ettevõtte majandusnäitajate aastastatistika tegemisele </w:t>
      </w:r>
      <w:r w:rsidRPr="007611A4">
        <w:t>mitmete statistikatööde juures (vt Joonis 1). Majandusaasta aruannete andmeid kasutatakse kas statistika küsimustike eeltäitmiseks või need on põhiliseks sisendiks statistika tegemisel.</w:t>
      </w:r>
    </w:p>
    <w:p w:rsidR="008F3752" w:rsidRPr="007611A4" w:rsidRDefault="006A4FC3" w:rsidP="00C3459E">
      <w:pPr>
        <w:ind w:left="348"/>
        <w:jc w:val="center"/>
        <w:rPr>
          <w:rFonts w:ascii="Roboto" w:hAnsi="Roboto"/>
          <w:lang w:val="et-EE"/>
        </w:rPr>
      </w:pPr>
      <w:r w:rsidRPr="007611A4">
        <w:rPr>
          <w:noProof/>
          <w:lang w:val="et-EE" w:eastAsia="et-EE"/>
        </w:rPr>
        <w:drawing>
          <wp:inline distT="0" distB="0" distL="0" distR="0">
            <wp:extent cx="6083300" cy="296545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0" cy="2965450"/>
                    </a:xfrm>
                    <a:prstGeom prst="rect">
                      <a:avLst/>
                    </a:prstGeom>
                    <a:noFill/>
                    <a:ln>
                      <a:noFill/>
                    </a:ln>
                  </pic:spPr>
                </pic:pic>
              </a:graphicData>
            </a:graphic>
          </wp:inline>
        </w:drawing>
      </w:r>
    </w:p>
    <w:p w:rsidR="008F3752" w:rsidRPr="007611A4" w:rsidRDefault="008F3752" w:rsidP="008F3752">
      <w:pPr>
        <w:ind w:left="348"/>
        <w:jc w:val="both"/>
        <w:rPr>
          <w:rFonts w:ascii="Roboto" w:hAnsi="Roboto"/>
          <w:lang w:val="et-EE"/>
        </w:rPr>
      </w:pPr>
      <w:r w:rsidRPr="000F5074">
        <w:rPr>
          <w:rFonts w:ascii="Roboto" w:hAnsi="Roboto"/>
          <w:b/>
          <w:lang w:val="et-EE"/>
        </w:rPr>
        <w:t>Joonis 1.</w:t>
      </w:r>
      <w:r w:rsidRPr="007611A4">
        <w:rPr>
          <w:rFonts w:ascii="Roboto" w:hAnsi="Roboto"/>
          <w:lang w:val="et-EE"/>
        </w:rPr>
        <w:t xml:space="preserve"> Majandusaasta aruandes esitatava info kasutamine statistika tootmisel.</w:t>
      </w:r>
    </w:p>
    <w:p w:rsidR="008F3752" w:rsidRPr="007611A4" w:rsidRDefault="008F3752" w:rsidP="009B3F98">
      <w:pPr>
        <w:jc w:val="both"/>
        <w:rPr>
          <w:rFonts w:ascii="Roboto" w:hAnsi="Roboto"/>
          <w:lang w:val="et-EE"/>
        </w:rPr>
      </w:pPr>
    </w:p>
    <w:p w:rsidR="008F3752" w:rsidRPr="007611A4" w:rsidRDefault="004B4888" w:rsidP="008F3752">
      <w:pPr>
        <w:pStyle w:val="ListParagraph"/>
        <w:numPr>
          <w:ilvl w:val="0"/>
          <w:numId w:val="13"/>
        </w:numPr>
        <w:ind w:left="360"/>
        <w:jc w:val="both"/>
      </w:pPr>
      <w:r w:rsidRPr="007611A4">
        <w:t xml:space="preserve">Ettevõtlusstatistika </w:t>
      </w:r>
      <w:r w:rsidR="005E023E" w:rsidRPr="007611A4">
        <w:t>tegemine on kokkulepitud Euroopa Liidu liikmesriikide vahel ehk nimetatud s</w:t>
      </w:r>
      <w:r w:rsidR="008F3752" w:rsidRPr="007611A4">
        <w:t xml:space="preserve">tatistika tootmine ja selleks andmete kogumine on Euroopa </w:t>
      </w:r>
      <w:r w:rsidR="008F3752" w:rsidRPr="007611A4">
        <w:lastRenderedPageBreak/>
        <w:t xml:space="preserve">Liidus reguleeritud otsekohalduvate Euroopa Parlamendi ja Nõukogu määrustega ja nende juurde kuuluvate rakendusmäärustega, millega sätestatakse nn metoodilised tingimused, et tagada andmete võrreldavus ajas ja teiste liikmesriikidega. </w:t>
      </w:r>
      <w:r w:rsidRPr="007611A4">
        <w:t>E</w:t>
      </w:r>
      <w:r w:rsidR="008D6625" w:rsidRPr="007611A4">
        <w:t xml:space="preserve">ttevõtlusstatistika tegemist </w:t>
      </w:r>
      <w:r w:rsidRPr="007611A4">
        <w:t xml:space="preserve">üldiselt </w:t>
      </w:r>
      <w:r w:rsidR="008D6625" w:rsidRPr="007611A4">
        <w:t>reguleeri</w:t>
      </w:r>
      <w:r w:rsidR="00977AEE" w:rsidRPr="007611A4">
        <w:t>b</w:t>
      </w:r>
      <w:r w:rsidR="008D6625" w:rsidRPr="007611A4">
        <w:t xml:space="preserve"> </w:t>
      </w:r>
      <w:r w:rsidR="008F3752" w:rsidRPr="007611A4">
        <w:t>Euroopa Parlamendi ja nõukogu määrus (EÜ) nr 223/2009, 11. märts 2009, Euroopa statistika kohta</w:t>
      </w:r>
      <w:r w:rsidR="008F3752" w:rsidRPr="007611A4">
        <w:rPr>
          <w:rStyle w:val="FootnoteReference"/>
        </w:rPr>
        <w:footnoteReference w:id="1"/>
      </w:r>
      <w:r w:rsidR="0087616B" w:rsidRPr="007611A4">
        <w:t xml:space="preserve">, </w:t>
      </w:r>
      <w:r w:rsidR="008F3752" w:rsidRPr="007611A4">
        <w:t>Euroopa Parlamendi ja nõukogu määrus EÜ) nr 295/2008, 11. märts 2008, ettevõtluse struktuurstatistika kohta</w:t>
      </w:r>
      <w:r w:rsidR="008F3752" w:rsidRPr="007611A4">
        <w:rPr>
          <w:rStyle w:val="FootnoteReference"/>
        </w:rPr>
        <w:footnoteReference w:id="2"/>
      </w:r>
      <w:r w:rsidR="00977AEE" w:rsidRPr="007611A4">
        <w:t xml:space="preserve"> (edaspidi SBS</w:t>
      </w:r>
      <w:r w:rsidR="0087616B" w:rsidRPr="007611A4">
        <w:t xml:space="preserve"> </w:t>
      </w:r>
      <w:r w:rsidR="00977AEE" w:rsidRPr="007611A4">
        <w:t>määrus)</w:t>
      </w:r>
      <w:r w:rsidR="0087616B" w:rsidRPr="007611A4">
        <w:t xml:space="preserve"> ja alates 2021 aastast Euroopa Parlamendi ja nõukogu määrus (EL) 2019/2152, 27. november 2019, Euroopa ettevõtlusstatistika kohta</w:t>
      </w:r>
      <w:r w:rsidR="00C61C46" w:rsidRPr="007611A4">
        <w:rPr>
          <w:rStyle w:val="FootnoteReference"/>
        </w:rPr>
        <w:footnoteReference w:id="3"/>
      </w:r>
      <w:r w:rsidR="00C61C46" w:rsidRPr="007611A4">
        <w:t xml:space="preserve"> (asendab tulevikus SBS määruse)</w:t>
      </w:r>
      <w:r w:rsidR="00977AEE" w:rsidRPr="007611A4">
        <w:t>.</w:t>
      </w:r>
    </w:p>
    <w:p w:rsidR="008F3752" w:rsidRPr="007611A4" w:rsidRDefault="008F3752" w:rsidP="009B3F98">
      <w:pPr>
        <w:pStyle w:val="ListParagraph"/>
        <w:ind w:left="0"/>
        <w:jc w:val="both"/>
      </w:pPr>
    </w:p>
    <w:p w:rsidR="00C61C46" w:rsidRPr="007611A4" w:rsidRDefault="008F3752" w:rsidP="008F3752">
      <w:pPr>
        <w:pStyle w:val="ListParagraph"/>
        <w:numPr>
          <w:ilvl w:val="0"/>
          <w:numId w:val="13"/>
        </w:numPr>
        <w:ind w:left="360"/>
        <w:jc w:val="both"/>
      </w:pPr>
      <w:r w:rsidRPr="007611A4">
        <w:t>SBS määruse alusel tuleb E</w:t>
      </w:r>
      <w:r w:rsidR="00C61C46" w:rsidRPr="007611A4">
        <w:t xml:space="preserve">uroopa </w:t>
      </w:r>
      <w:r w:rsidRPr="007611A4">
        <w:t>L</w:t>
      </w:r>
      <w:r w:rsidR="00C61C46" w:rsidRPr="007611A4">
        <w:t>iidu</w:t>
      </w:r>
      <w:r w:rsidRPr="007611A4">
        <w:t xml:space="preserve"> statistika tootmiseks esialgsed andmeseeria</w:t>
      </w:r>
      <w:r w:rsidR="00C61C46" w:rsidRPr="007611A4">
        <w:t>d</w:t>
      </w:r>
      <w:r w:rsidRPr="007611A4">
        <w:t xml:space="preserve"> edastada Eurostati</w:t>
      </w:r>
      <w:r w:rsidRPr="007611A4">
        <w:rPr>
          <w:b/>
        </w:rPr>
        <w:t xml:space="preserve"> </w:t>
      </w:r>
      <w:r w:rsidRPr="000F5074">
        <w:rPr>
          <w:b/>
        </w:rPr>
        <w:t>aruandeaastale järgneva 10 kuu jooksul, s.o enne 31. oktoobrit</w:t>
      </w:r>
      <w:r w:rsidRPr="007611A4">
        <w:t>. Veel varasem on Euroopa Parlamendi ja nõukogu määruse (EÜ) nr 138/2004, 5. detsember 2003, põllumajanduse arvepidamise kohta</w:t>
      </w:r>
      <w:r w:rsidRPr="007611A4">
        <w:rPr>
          <w:rStyle w:val="FootnoteReference"/>
        </w:rPr>
        <w:footnoteReference w:id="4"/>
      </w:r>
      <w:r w:rsidRPr="007611A4">
        <w:t xml:space="preserve"> järgne andmete edastamise tähtaeg, kus andmed tuleb edastada </w:t>
      </w:r>
      <w:r w:rsidRPr="000F5074">
        <w:rPr>
          <w:b/>
        </w:rPr>
        <w:t>aruandeaastale järgneva 9 kuu jooksul,</w:t>
      </w:r>
      <w:r w:rsidR="00CB3D23" w:rsidRPr="000F5074">
        <w:rPr>
          <w:b/>
        </w:rPr>
        <w:t xml:space="preserve"> </w:t>
      </w:r>
      <w:r w:rsidRPr="000F5074">
        <w:rPr>
          <w:b/>
        </w:rPr>
        <w:t>s.o enne 30. septembrit</w:t>
      </w:r>
      <w:r w:rsidRPr="007611A4">
        <w:t>.</w:t>
      </w:r>
    </w:p>
    <w:p w:rsidR="004B4888" w:rsidRPr="007611A4" w:rsidRDefault="004B4888" w:rsidP="004B4888">
      <w:pPr>
        <w:pStyle w:val="ListParagraph"/>
        <w:ind w:left="0"/>
        <w:jc w:val="both"/>
      </w:pPr>
    </w:p>
    <w:p w:rsidR="00091704" w:rsidRPr="007611A4" w:rsidRDefault="00091704" w:rsidP="00091704">
      <w:pPr>
        <w:pStyle w:val="ListParagraph"/>
        <w:numPr>
          <w:ilvl w:val="0"/>
          <w:numId w:val="13"/>
        </w:numPr>
        <w:ind w:left="360"/>
        <w:jc w:val="both"/>
      </w:pPr>
      <w:r w:rsidRPr="007611A4">
        <w:t>Statistika tegemise rahvusvaheline hea tava näeb ette, et eelmise perioodi andmed avaldatakse järgmise perioodi jooksul, st eelmise aasta andmed avaldatakse järgmise 365 päeva jooksul.</w:t>
      </w:r>
    </w:p>
    <w:p w:rsidR="00C61C46" w:rsidRPr="007611A4" w:rsidRDefault="00C61C46" w:rsidP="009B3F98">
      <w:pPr>
        <w:pStyle w:val="ListParagraph"/>
        <w:ind w:left="0"/>
      </w:pPr>
    </w:p>
    <w:p w:rsidR="00F91123" w:rsidRPr="007611A4" w:rsidRDefault="008F3752" w:rsidP="00F91123">
      <w:pPr>
        <w:pStyle w:val="ListParagraph"/>
        <w:numPr>
          <w:ilvl w:val="0"/>
          <w:numId w:val="13"/>
        </w:numPr>
        <w:ind w:left="360"/>
        <w:jc w:val="both"/>
      </w:pPr>
      <w:r w:rsidRPr="007611A4">
        <w:t xml:space="preserve">SBS määrus on nn väljundipõhine määrus, mis kohustab Euroopa Liidu liikmesriike esitama Eurostat’ile näitajaid. Selleks antakse ette nende definitsioonid, kuid ei kirjutata ette, kuidas neid andmeid tuleb koguda. Riigid kasutavadki statistika tootmiseks vajalike andmete kogumiseks erinevaid meetodeid ja andmeallikaid. </w:t>
      </w:r>
    </w:p>
    <w:p w:rsidR="00F91123" w:rsidRPr="007611A4" w:rsidRDefault="00F91123" w:rsidP="00F91123">
      <w:pPr>
        <w:pStyle w:val="ListParagraph"/>
        <w:ind w:left="0"/>
      </w:pPr>
    </w:p>
    <w:p w:rsidR="00F91123" w:rsidRPr="007611A4" w:rsidRDefault="00091704" w:rsidP="004B4888">
      <w:pPr>
        <w:pStyle w:val="ListParagraph"/>
        <w:numPr>
          <w:ilvl w:val="0"/>
          <w:numId w:val="13"/>
        </w:numPr>
        <w:ind w:left="360"/>
        <w:jc w:val="both"/>
      </w:pPr>
      <w:r w:rsidRPr="007611A4">
        <w:t xml:space="preserve">Kui ettevõtja on esitanud majandusaasta aruande äriregistrile, siis jõuavad selles esitatud andmed Statistikaametisse ning neid kasutatakse statistika küsimustike, sh ka nt EKOMAR (ettevõtte kompleksne majandusaasta aruanne), eeltäitmiseks. </w:t>
      </w:r>
      <w:r w:rsidR="00F91123" w:rsidRPr="007611A4">
        <w:t>Statistiliste aruannete eeltäitmine MAA andmetega toimub kord tunnis, s.t näiteks kui MAA kinnitat</w:t>
      </w:r>
      <w:r w:rsidR="004B4888" w:rsidRPr="007611A4">
        <w:t>akse</w:t>
      </w:r>
      <w:r w:rsidR="00F91123" w:rsidRPr="007611A4">
        <w:t xml:space="preserve"> kell 9, siis hiljemalt kell 10 o</w:t>
      </w:r>
      <w:r w:rsidR="004B4888" w:rsidRPr="007611A4">
        <w:t>n</w:t>
      </w:r>
      <w:r w:rsidR="00F91123" w:rsidRPr="007611A4">
        <w:t xml:space="preserve"> eeltäidetud statistiline aruanne eSTATis </w:t>
      </w:r>
      <w:r w:rsidR="004B4888" w:rsidRPr="007611A4">
        <w:t xml:space="preserve">(Statistikaameti elektroonilise andmete edastamise keskkond) </w:t>
      </w:r>
      <w:r w:rsidR="00F91123" w:rsidRPr="007611A4">
        <w:t xml:space="preserve">olemas. </w:t>
      </w:r>
      <w:r w:rsidRPr="007611A4">
        <w:t xml:space="preserve">Kui ettevõtja asub esitama elektroonilist statistikaküsimustikku, kuvatakse see talle eeltäidetud kujul ning andmeesitajal jääb lisada üksnes majandusaasta aruande koosseisus puuduvad andmed. </w:t>
      </w:r>
    </w:p>
    <w:p w:rsidR="00F91123" w:rsidRPr="00D60820" w:rsidRDefault="00F91123" w:rsidP="00F91123">
      <w:pPr>
        <w:pStyle w:val="Title"/>
        <w:rPr>
          <w:rStyle w:val="Emphasis"/>
          <w:lang w:val="et-EE"/>
        </w:rPr>
      </w:pPr>
      <w:r w:rsidRPr="00D60820">
        <w:rPr>
          <w:rStyle w:val="Emphasis"/>
          <w:lang w:val="et-EE"/>
        </w:rPr>
        <w:t>Halduskoormuse vähendamine</w:t>
      </w:r>
      <w:r w:rsidR="00D04273" w:rsidRPr="00D60820">
        <w:rPr>
          <w:rStyle w:val="Emphasis"/>
          <w:lang w:val="et-EE"/>
        </w:rPr>
        <w:t xml:space="preserve"> </w:t>
      </w:r>
      <w:r w:rsidR="00B53666" w:rsidRPr="00D60820">
        <w:rPr>
          <w:rStyle w:val="Emphasis"/>
          <w:lang w:val="et-EE"/>
        </w:rPr>
        <w:t xml:space="preserve">seoses majandusaasta aruannete </w:t>
      </w:r>
      <w:r w:rsidR="00D04273" w:rsidRPr="00D60820">
        <w:rPr>
          <w:rStyle w:val="Emphasis"/>
          <w:lang w:val="et-EE"/>
        </w:rPr>
        <w:t>ka</w:t>
      </w:r>
      <w:r w:rsidR="00B53666" w:rsidRPr="00D60820">
        <w:rPr>
          <w:rStyle w:val="Emphasis"/>
          <w:lang w:val="et-EE"/>
        </w:rPr>
        <w:t>sutamisega statistikas</w:t>
      </w:r>
    </w:p>
    <w:p w:rsidR="00F91123" w:rsidRPr="007611A4" w:rsidRDefault="00F91123" w:rsidP="008F3752">
      <w:pPr>
        <w:pStyle w:val="ListParagraph"/>
        <w:ind w:left="360"/>
        <w:jc w:val="both"/>
      </w:pPr>
    </w:p>
    <w:p w:rsidR="008F3752" w:rsidRPr="007611A4" w:rsidRDefault="00AF77E1" w:rsidP="008F3752">
      <w:pPr>
        <w:pStyle w:val="ListParagraph"/>
        <w:numPr>
          <w:ilvl w:val="0"/>
          <w:numId w:val="13"/>
        </w:numPr>
        <w:ind w:left="360"/>
        <w:jc w:val="both"/>
      </w:pPr>
      <w:r w:rsidRPr="007611A4">
        <w:t xml:space="preserve">2012. aastal lõpetas Statistikaamet majandusaasta aruannetega dubleerivate andmete kogumise ehk kasutab MAA andmeid statistika küsimustike eeltäitmiseks. </w:t>
      </w:r>
      <w:r w:rsidR="008F3752" w:rsidRPr="007611A4">
        <w:t>Aruande esitajate hinnangul mõjutas eeltäitmine oluliselt EKOMAR-i aruannete täitmise aega. Võrreldes samu EKOMAR-i aruandeid täitnud ettevõtteid 2010. ja 2012. aastal, oli eeltäitmiseta aruannete täitmiseks kulunud aja mediaan mõlemal aastal võrdne – 3 tundi. Eeltäidetud aruannetel vähenes aja mediaan kaks korda ehk 3 tunnist 2010. aastal 1,5-ni 2012. aastal.</w:t>
      </w:r>
    </w:p>
    <w:p w:rsidR="008F3752" w:rsidRPr="007611A4" w:rsidRDefault="008F3752" w:rsidP="008F3752">
      <w:pPr>
        <w:pStyle w:val="ListParagraph"/>
        <w:ind w:left="360"/>
      </w:pPr>
    </w:p>
    <w:p w:rsidR="00C1487B" w:rsidRPr="007611A4" w:rsidRDefault="00C1487B" w:rsidP="008F3752">
      <w:pPr>
        <w:pStyle w:val="ListParagraph"/>
        <w:numPr>
          <w:ilvl w:val="0"/>
          <w:numId w:val="13"/>
        </w:numPr>
        <w:ind w:left="360"/>
        <w:jc w:val="both"/>
      </w:pPr>
      <w:r w:rsidRPr="007611A4">
        <w:t xml:space="preserve">Majandusaasta aruannete kasutamisele võtmine on vabastanud </w:t>
      </w:r>
      <w:r w:rsidR="00D04273" w:rsidRPr="007611A4">
        <w:t xml:space="preserve">osaliselt ka </w:t>
      </w:r>
      <w:r w:rsidR="008F3752" w:rsidRPr="007611A4">
        <w:t xml:space="preserve">mikro- ja väikeettevõtteid statistiliste küsimustike </w:t>
      </w:r>
      <w:r w:rsidRPr="007611A4">
        <w:t>täitmisest</w:t>
      </w:r>
      <w:r w:rsidR="008F3752" w:rsidRPr="007611A4">
        <w:t>.</w:t>
      </w:r>
    </w:p>
    <w:p w:rsidR="00C1487B" w:rsidRPr="007611A4" w:rsidRDefault="00C1487B" w:rsidP="00C1487B">
      <w:pPr>
        <w:pStyle w:val="ListParagraph"/>
        <w:ind w:left="0"/>
      </w:pPr>
    </w:p>
    <w:p w:rsidR="00D04273" w:rsidRPr="007611A4" w:rsidRDefault="004B4888" w:rsidP="003A55DC">
      <w:pPr>
        <w:pStyle w:val="ListParagraph"/>
        <w:numPr>
          <w:ilvl w:val="0"/>
          <w:numId w:val="13"/>
        </w:numPr>
        <w:ind w:left="360"/>
        <w:jc w:val="both"/>
      </w:pPr>
      <w:r w:rsidRPr="007611A4">
        <w:t>V</w:t>
      </w:r>
      <w:r w:rsidR="008F3752" w:rsidRPr="007611A4">
        <w:t xml:space="preserve">aatamata kasvavale ettevõtete arvule (kogum) </w:t>
      </w:r>
      <w:r w:rsidR="00D04273" w:rsidRPr="007611A4">
        <w:t>on</w:t>
      </w:r>
      <w:r w:rsidRPr="007611A4">
        <w:t xml:space="preserve"> </w:t>
      </w:r>
      <w:r w:rsidR="008F3752" w:rsidRPr="007611A4">
        <w:t xml:space="preserve">andmeesitajate arv (valim) </w:t>
      </w:r>
      <w:r w:rsidR="00D04273" w:rsidRPr="007611A4">
        <w:t>vähenenud</w:t>
      </w:r>
      <w:r w:rsidR="008F3752" w:rsidRPr="007611A4">
        <w:t xml:space="preserve"> (vt Joonis 2).</w:t>
      </w:r>
    </w:p>
    <w:p w:rsidR="00D04273" w:rsidRPr="007611A4" w:rsidRDefault="006A4FC3" w:rsidP="00D04273">
      <w:pPr>
        <w:pStyle w:val="ListParagraph"/>
        <w:rPr>
          <w:noProof/>
          <w:lang w:eastAsia="et-EE"/>
        </w:rPr>
      </w:pPr>
      <w:r w:rsidRPr="007611A4">
        <w:rPr>
          <w:noProof/>
          <w:lang w:eastAsia="et-EE"/>
        </w:rPr>
        <w:drawing>
          <wp:inline distT="0" distB="0" distL="0" distR="0">
            <wp:extent cx="5365750" cy="2857500"/>
            <wp:effectExtent l="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2857500"/>
                    </a:xfrm>
                    <a:prstGeom prst="rect">
                      <a:avLst/>
                    </a:prstGeom>
                    <a:noFill/>
                    <a:ln>
                      <a:noFill/>
                    </a:ln>
                  </pic:spPr>
                </pic:pic>
              </a:graphicData>
            </a:graphic>
          </wp:inline>
        </w:drawing>
      </w:r>
    </w:p>
    <w:p w:rsidR="00B53666" w:rsidRPr="007611A4" w:rsidRDefault="00B53666" w:rsidP="00B53666">
      <w:pPr>
        <w:ind w:left="348"/>
        <w:rPr>
          <w:rFonts w:ascii="Roboto" w:hAnsi="Roboto"/>
          <w:lang w:val="et-EE"/>
        </w:rPr>
      </w:pPr>
      <w:r w:rsidRPr="000F5074">
        <w:rPr>
          <w:rFonts w:ascii="Roboto" w:hAnsi="Roboto"/>
          <w:b/>
          <w:lang w:val="et-EE"/>
        </w:rPr>
        <w:t>Joonis 2.</w:t>
      </w:r>
      <w:r w:rsidR="000F5074">
        <w:rPr>
          <w:rFonts w:ascii="Roboto" w:hAnsi="Roboto"/>
          <w:lang w:val="et-EE"/>
        </w:rPr>
        <w:t xml:space="preserve"> </w:t>
      </w:r>
      <w:r w:rsidRPr="007611A4">
        <w:rPr>
          <w:rFonts w:ascii="Roboto" w:hAnsi="Roboto"/>
          <w:lang w:val="et-EE"/>
        </w:rPr>
        <w:t>Ettevõtete arv EKOMAR kogumis ja valimis 2012-2017.</w:t>
      </w:r>
    </w:p>
    <w:p w:rsidR="00B53666" w:rsidRPr="007611A4" w:rsidRDefault="00B53666" w:rsidP="00D04273">
      <w:pPr>
        <w:pStyle w:val="ListParagraph"/>
      </w:pPr>
    </w:p>
    <w:p w:rsidR="00D04273" w:rsidRPr="007611A4" w:rsidRDefault="008F3752" w:rsidP="003A55DC">
      <w:pPr>
        <w:pStyle w:val="ListParagraph"/>
        <w:numPr>
          <w:ilvl w:val="0"/>
          <w:numId w:val="13"/>
        </w:numPr>
        <w:ind w:left="360"/>
        <w:jc w:val="both"/>
      </w:pPr>
      <w:r w:rsidRPr="007611A4">
        <w:t>Lisaks EKOMAR esitajate arvu vähendamisele on vähendatud finantsvahenduse ja finantsvahenduse abitegevuse küsimustiku esitajate arvu, kus varasema ca 430 üksuse asemel oli 2018. aasta andmeesitajate nimekirjas 64 üksust.</w:t>
      </w:r>
    </w:p>
    <w:p w:rsidR="00D04273" w:rsidRPr="007611A4" w:rsidRDefault="00D04273" w:rsidP="00D04273">
      <w:pPr>
        <w:pStyle w:val="ListParagraph"/>
      </w:pPr>
    </w:p>
    <w:p w:rsidR="00F91123" w:rsidRPr="007611A4" w:rsidRDefault="008F3752" w:rsidP="007611A4">
      <w:pPr>
        <w:pStyle w:val="ListParagraph"/>
        <w:numPr>
          <w:ilvl w:val="0"/>
          <w:numId w:val="13"/>
        </w:numPr>
        <w:ind w:left="360"/>
        <w:jc w:val="both"/>
      </w:pPr>
      <w:r w:rsidRPr="007611A4">
        <w:t>Lühendatud on kasumitaotluseta organisatsioonide küsimustikku, kust jäeti ära põhivara tabel (säilisid küsimused tulude, kulude ja liikmete kohta).</w:t>
      </w:r>
    </w:p>
    <w:p w:rsidR="008F3752" w:rsidRPr="00D60820" w:rsidRDefault="00B53666" w:rsidP="00B53666">
      <w:pPr>
        <w:pStyle w:val="Title"/>
        <w:rPr>
          <w:rStyle w:val="Emphasis"/>
          <w:lang w:val="et-EE"/>
        </w:rPr>
      </w:pPr>
      <w:r w:rsidRPr="00D60820">
        <w:rPr>
          <w:rStyle w:val="Emphasis"/>
          <w:lang w:val="et-EE"/>
        </w:rPr>
        <w:lastRenderedPageBreak/>
        <w:t>Andmete esitamise tähtajad ja nende täitmine</w:t>
      </w:r>
    </w:p>
    <w:p w:rsidR="003A55DC" w:rsidRPr="007611A4" w:rsidRDefault="003A55DC" w:rsidP="00B53666">
      <w:pPr>
        <w:rPr>
          <w:rFonts w:ascii="Roboto" w:hAnsi="Roboto"/>
          <w:lang w:val="et-EE"/>
        </w:rPr>
      </w:pPr>
    </w:p>
    <w:p w:rsidR="00B53666" w:rsidRPr="007611A4" w:rsidRDefault="00B53666" w:rsidP="00B53666">
      <w:pPr>
        <w:numPr>
          <w:ilvl w:val="0"/>
          <w:numId w:val="13"/>
        </w:numPr>
        <w:ind w:left="357" w:hanging="357"/>
        <w:rPr>
          <w:rFonts w:ascii="Roboto" w:hAnsi="Roboto"/>
          <w:lang w:val="et-EE"/>
        </w:rPr>
      </w:pPr>
      <w:r w:rsidRPr="007611A4">
        <w:rPr>
          <w:rFonts w:ascii="Roboto" w:hAnsi="Roboto"/>
          <w:lang w:val="et-EE"/>
        </w:rPr>
        <w:t>Seadusandluses on majandusaasta aruannete esitamisele kehtestatud erinevad tähtajad (vt table 1).</w:t>
      </w:r>
    </w:p>
    <w:p w:rsidR="00B53666" w:rsidRPr="007611A4" w:rsidRDefault="00B53666" w:rsidP="00B53666">
      <w:pPr>
        <w:rPr>
          <w:rFonts w:ascii="Roboto" w:hAnsi="Roboto"/>
          <w:lang w:val="et-EE"/>
        </w:rPr>
      </w:pPr>
      <w:r w:rsidRPr="007611A4">
        <w:rPr>
          <w:rFonts w:ascii="Roboto" w:hAnsi="Roboto"/>
          <w:b/>
          <w:lang w:val="et-EE"/>
        </w:rPr>
        <w:t>Tabel 1</w:t>
      </w:r>
      <w:r w:rsidRPr="007611A4">
        <w:rPr>
          <w:rFonts w:ascii="Roboto" w:hAnsi="Roboto"/>
          <w:lang w:val="et-EE"/>
        </w:rPr>
        <w:t xml:space="preserve"> Kehtivad nõuded majandusaasta aruannete esitamisele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088"/>
        <w:gridCol w:w="3114"/>
      </w:tblGrid>
      <w:tr w:rsidR="00B53666" w:rsidRPr="007611A4" w:rsidTr="007611A4">
        <w:tc>
          <w:tcPr>
            <w:tcW w:w="3369" w:type="dxa"/>
          </w:tcPr>
          <w:p w:rsidR="00B53666" w:rsidRPr="007611A4" w:rsidRDefault="00B53666" w:rsidP="003F07CE">
            <w:pPr>
              <w:rPr>
                <w:rFonts w:ascii="Roboto" w:hAnsi="Roboto"/>
                <w:b/>
                <w:lang w:val="et-EE"/>
              </w:rPr>
            </w:pPr>
            <w:r w:rsidRPr="007611A4">
              <w:rPr>
                <w:rFonts w:ascii="Roboto" w:hAnsi="Roboto"/>
                <w:b/>
                <w:lang w:val="et-EE"/>
              </w:rPr>
              <w:t>Seadus</w:t>
            </w:r>
          </w:p>
        </w:tc>
        <w:tc>
          <w:tcPr>
            <w:tcW w:w="3088" w:type="dxa"/>
          </w:tcPr>
          <w:p w:rsidR="00B53666" w:rsidRPr="007611A4" w:rsidRDefault="00B53666" w:rsidP="003F07CE">
            <w:pPr>
              <w:rPr>
                <w:rFonts w:ascii="Roboto" w:hAnsi="Roboto"/>
                <w:b/>
                <w:lang w:val="et-EE"/>
              </w:rPr>
            </w:pPr>
            <w:r w:rsidRPr="007611A4">
              <w:rPr>
                <w:rFonts w:ascii="Roboto" w:hAnsi="Roboto"/>
                <w:b/>
                <w:lang w:val="et-EE"/>
              </w:rPr>
              <w:t>Ettevõtte õiguslik vorm</w:t>
            </w:r>
          </w:p>
        </w:tc>
        <w:tc>
          <w:tcPr>
            <w:tcW w:w="3114" w:type="dxa"/>
          </w:tcPr>
          <w:p w:rsidR="00B53666" w:rsidRPr="007611A4" w:rsidRDefault="00B53666" w:rsidP="003F07CE">
            <w:pPr>
              <w:rPr>
                <w:rFonts w:ascii="Roboto" w:hAnsi="Roboto"/>
                <w:b/>
                <w:lang w:val="et-EE"/>
              </w:rPr>
            </w:pPr>
            <w:r w:rsidRPr="007611A4">
              <w:rPr>
                <w:rFonts w:ascii="Roboto" w:hAnsi="Roboto"/>
                <w:b/>
                <w:lang w:val="et-EE"/>
              </w:rPr>
              <w:t>Tähtaeg</w:t>
            </w:r>
          </w:p>
        </w:tc>
      </w:tr>
      <w:tr w:rsidR="00B53666" w:rsidRPr="007611A4" w:rsidTr="007611A4">
        <w:tc>
          <w:tcPr>
            <w:tcW w:w="3369" w:type="dxa"/>
          </w:tcPr>
          <w:p w:rsidR="00B53666" w:rsidRPr="007611A4" w:rsidRDefault="00B53666" w:rsidP="003F07CE">
            <w:pPr>
              <w:rPr>
                <w:rFonts w:ascii="Roboto" w:hAnsi="Roboto"/>
                <w:lang w:val="et-EE"/>
              </w:rPr>
            </w:pPr>
            <w:r w:rsidRPr="007611A4">
              <w:rPr>
                <w:rFonts w:ascii="Roboto" w:hAnsi="Roboto"/>
                <w:lang w:val="et-EE"/>
              </w:rPr>
              <w:t>Äriseadustik</w:t>
            </w:r>
            <w:r w:rsidRPr="007611A4">
              <w:rPr>
                <w:rStyle w:val="FootnoteReference"/>
                <w:rFonts w:ascii="Roboto" w:hAnsi="Roboto"/>
                <w:lang w:val="et-EE"/>
              </w:rPr>
              <w:footnoteReference w:id="5"/>
            </w:r>
            <w:r w:rsidRPr="007611A4">
              <w:rPr>
                <w:rFonts w:ascii="Roboto" w:hAnsi="Roboto"/>
                <w:lang w:val="et-EE"/>
              </w:rPr>
              <w:t xml:space="preserve"> </w:t>
            </w:r>
            <w:r w:rsidRPr="007611A4">
              <w:rPr>
                <w:rFonts w:ascii="Roboto" w:hAnsi="Roboto" w:cs="TimesNewRomanPS-BoldMT"/>
                <w:bCs/>
                <w:color w:val="000000"/>
                <w:lang w:val="et-EE"/>
              </w:rPr>
              <w:t>§ 97</w:t>
            </w:r>
            <w:r w:rsidRPr="007611A4">
              <w:rPr>
                <w:rFonts w:ascii="Roboto" w:hAnsi="Roboto" w:cs="TimesNewRomanPS-BoldMT"/>
                <w:bCs/>
                <w:color w:val="000000"/>
                <w:vertAlign w:val="superscript"/>
                <w:lang w:val="et-EE"/>
              </w:rPr>
              <w:t>1</w:t>
            </w:r>
            <w:r w:rsidRPr="007611A4">
              <w:rPr>
                <w:rFonts w:ascii="Roboto" w:hAnsi="Roboto" w:cs="TimesNewRomanPS-BoldMT"/>
                <w:bCs/>
                <w:color w:val="000000"/>
                <w:lang w:val="et-EE"/>
              </w:rPr>
              <w:t>lg 1</w:t>
            </w:r>
          </w:p>
        </w:tc>
        <w:tc>
          <w:tcPr>
            <w:tcW w:w="3088" w:type="dxa"/>
          </w:tcPr>
          <w:p w:rsidR="00B53666" w:rsidRPr="007611A4" w:rsidRDefault="00B53666" w:rsidP="003F07CE">
            <w:pPr>
              <w:rPr>
                <w:rFonts w:ascii="Roboto" w:hAnsi="Roboto"/>
                <w:lang w:val="et-EE"/>
              </w:rPr>
            </w:pPr>
            <w:r w:rsidRPr="007611A4">
              <w:rPr>
                <w:rFonts w:ascii="Roboto" w:hAnsi="Roboto"/>
                <w:lang w:val="et-EE"/>
              </w:rPr>
              <w:t>Osanik</w:t>
            </w:r>
          </w:p>
        </w:tc>
        <w:tc>
          <w:tcPr>
            <w:tcW w:w="3114" w:type="dxa"/>
          </w:tcPr>
          <w:p w:rsidR="00B53666" w:rsidRPr="007611A4" w:rsidRDefault="00B53666" w:rsidP="003F07CE">
            <w:pPr>
              <w:rPr>
                <w:rFonts w:ascii="Roboto" w:hAnsi="Roboto"/>
                <w:lang w:val="et-EE"/>
              </w:rPr>
            </w:pPr>
            <w:r w:rsidRPr="007611A4">
              <w:rPr>
                <w:rFonts w:ascii="Roboto" w:hAnsi="Roboto"/>
                <w:lang w:val="et-EE"/>
              </w:rPr>
              <w:t>Kuue kuu jooksul arvates majandusaasta lõppemisest</w:t>
            </w:r>
          </w:p>
        </w:tc>
      </w:tr>
      <w:tr w:rsidR="00B53666" w:rsidRPr="007611A4" w:rsidTr="007611A4">
        <w:tc>
          <w:tcPr>
            <w:tcW w:w="3369" w:type="dxa"/>
          </w:tcPr>
          <w:p w:rsidR="00B53666" w:rsidRPr="007611A4" w:rsidRDefault="00B53666" w:rsidP="003F07CE">
            <w:pPr>
              <w:rPr>
                <w:rFonts w:ascii="Roboto" w:hAnsi="Roboto"/>
                <w:lang w:val="et-EE"/>
              </w:rPr>
            </w:pPr>
            <w:r w:rsidRPr="007611A4">
              <w:rPr>
                <w:rFonts w:ascii="Roboto" w:hAnsi="Roboto"/>
                <w:lang w:val="et-EE"/>
              </w:rPr>
              <w:t xml:space="preserve">Äriseadustik </w:t>
            </w:r>
            <w:r w:rsidRPr="007611A4">
              <w:rPr>
                <w:rFonts w:ascii="Roboto" w:hAnsi="Roboto" w:cs="TimesNewRomanPS-BoldMT"/>
                <w:bCs/>
                <w:color w:val="000000"/>
                <w:lang w:val="et-EE"/>
              </w:rPr>
              <w:t>§ 97</w:t>
            </w:r>
            <w:r w:rsidRPr="007611A4">
              <w:rPr>
                <w:rFonts w:ascii="Roboto" w:hAnsi="Roboto" w:cs="TimesNewRomanPS-BoldMT"/>
                <w:bCs/>
                <w:color w:val="000000"/>
                <w:vertAlign w:val="superscript"/>
                <w:lang w:val="et-EE"/>
              </w:rPr>
              <w:t>1</w:t>
            </w:r>
            <w:r w:rsidRPr="007611A4">
              <w:rPr>
                <w:rFonts w:ascii="Roboto" w:hAnsi="Roboto" w:cs="TimesNewRomanPS-BoldMT"/>
                <w:bCs/>
                <w:color w:val="000000"/>
                <w:lang w:val="et-EE"/>
              </w:rPr>
              <w:t xml:space="preserve"> lg 1</w:t>
            </w:r>
            <w:r w:rsidRPr="007611A4">
              <w:rPr>
                <w:rFonts w:ascii="Roboto" w:hAnsi="Roboto" w:cs="TimesNewRomanPS-BoldMT"/>
                <w:bCs/>
                <w:color w:val="000000"/>
                <w:vertAlign w:val="superscript"/>
                <w:lang w:val="et-EE"/>
              </w:rPr>
              <w:t>1</w:t>
            </w:r>
          </w:p>
        </w:tc>
        <w:tc>
          <w:tcPr>
            <w:tcW w:w="3088" w:type="dxa"/>
          </w:tcPr>
          <w:p w:rsidR="00B53666" w:rsidRPr="007611A4" w:rsidRDefault="00B53666" w:rsidP="003F07CE">
            <w:pPr>
              <w:rPr>
                <w:rFonts w:ascii="Roboto" w:hAnsi="Roboto"/>
                <w:lang w:val="et-EE"/>
              </w:rPr>
            </w:pPr>
            <w:r w:rsidRPr="007611A4">
              <w:rPr>
                <w:rFonts w:ascii="Roboto" w:hAnsi="Roboto"/>
                <w:lang w:val="et-EE"/>
              </w:rPr>
              <w:t>Konsolideerimisgrupp</w:t>
            </w:r>
          </w:p>
        </w:tc>
        <w:tc>
          <w:tcPr>
            <w:tcW w:w="3114" w:type="dxa"/>
          </w:tcPr>
          <w:p w:rsidR="00B53666" w:rsidRPr="007611A4" w:rsidRDefault="00B53666" w:rsidP="003F07CE">
            <w:pPr>
              <w:rPr>
                <w:rFonts w:ascii="Roboto" w:hAnsi="Roboto"/>
                <w:lang w:val="et-EE"/>
              </w:rPr>
            </w:pPr>
            <w:r w:rsidRPr="007611A4">
              <w:rPr>
                <w:rFonts w:ascii="Roboto" w:hAnsi="Roboto"/>
                <w:lang w:val="et-EE"/>
              </w:rPr>
              <w:t>Kuue kuu jooksul arvates majandusaasta lõppemisest</w:t>
            </w:r>
          </w:p>
        </w:tc>
      </w:tr>
      <w:tr w:rsidR="00B53666" w:rsidRPr="007611A4" w:rsidTr="007611A4">
        <w:tc>
          <w:tcPr>
            <w:tcW w:w="3369" w:type="dxa"/>
          </w:tcPr>
          <w:p w:rsidR="00B53666" w:rsidRPr="007611A4" w:rsidRDefault="00B53666" w:rsidP="003F07CE">
            <w:pPr>
              <w:rPr>
                <w:rFonts w:ascii="Roboto" w:hAnsi="Roboto"/>
                <w:lang w:val="et-EE"/>
              </w:rPr>
            </w:pPr>
            <w:r w:rsidRPr="007611A4">
              <w:rPr>
                <w:rFonts w:ascii="Roboto" w:hAnsi="Roboto"/>
                <w:lang w:val="et-EE"/>
              </w:rPr>
              <w:t>Rahandusministri 11.12.2003 määrus nr 105 „Avaliku sektori finantsarvestuse ja -aruandluse juhend“§ 11 lg 1</w:t>
            </w:r>
          </w:p>
        </w:tc>
        <w:tc>
          <w:tcPr>
            <w:tcW w:w="3088" w:type="dxa"/>
          </w:tcPr>
          <w:p w:rsidR="00B53666" w:rsidRPr="007611A4" w:rsidRDefault="00B53666" w:rsidP="003F07CE">
            <w:pPr>
              <w:rPr>
                <w:rFonts w:ascii="Roboto" w:hAnsi="Roboto"/>
                <w:lang w:val="et-EE"/>
              </w:rPr>
            </w:pPr>
            <w:r w:rsidRPr="007611A4">
              <w:rPr>
                <w:rFonts w:ascii="Roboto" w:hAnsi="Roboto"/>
                <w:lang w:val="et-EE"/>
              </w:rPr>
              <w:t>Riigiraamatupidamis</w:t>
            </w:r>
            <w:r w:rsidR="007611A4" w:rsidRPr="007611A4">
              <w:rPr>
                <w:rFonts w:ascii="Roboto" w:hAnsi="Roboto"/>
                <w:lang w:val="et-EE"/>
              </w:rPr>
              <w:t>-</w:t>
            </w:r>
            <w:r w:rsidRPr="007611A4">
              <w:rPr>
                <w:rFonts w:ascii="Roboto" w:hAnsi="Roboto"/>
                <w:lang w:val="et-EE"/>
              </w:rPr>
              <w:t>kohustuslane, va Riigikontroll</w:t>
            </w:r>
          </w:p>
        </w:tc>
        <w:tc>
          <w:tcPr>
            <w:tcW w:w="3114" w:type="dxa"/>
          </w:tcPr>
          <w:p w:rsidR="00B53666" w:rsidRPr="007611A4" w:rsidRDefault="00B53666" w:rsidP="003F07CE">
            <w:pPr>
              <w:rPr>
                <w:rFonts w:ascii="Roboto" w:hAnsi="Roboto"/>
                <w:lang w:val="et-EE"/>
              </w:rPr>
            </w:pPr>
            <w:r w:rsidRPr="007611A4">
              <w:rPr>
                <w:rFonts w:ascii="Roboto" w:hAnsi="Roboto"/>
                <w:lang w:val="et-EE"/>
              </w:rPr>
              <w:t>Majandusaastale järgneva aasta 15. mail</w:t>
            </w:r>
          </w:p>
        </w:tc>
      </w:tr>
      <w:tr w:rsidR="00B53666" w:rsidRPr="007611A4" w:rsidTr="007611A4">
        <w:tc>
          <w:tcPr>
            <w:tcW w:w="3369" w:type="dxa"/>
          </w:tcPr>
          <w:p w:rsidR="00B53666" w:rsidRPr="007611A4" w:rsidRDefault="00B53666" w:rsidP="003F07CE">
            <w:pPr>
              <w:pStyle w:val="ListParagraph"/>
              <w:autoSpaceDE w:val="0"/>
              <w:autoSpaceDN w:val="0"/>
              <w:adjustRightInd w:val="0"/>
              <w:ind w:left="0"/>
              <w:jc w:val="both"/>
            </w:pPr>
            <w:r w:rsidRPr="007611A4">
              <w:t>Väärtpaberituru seadus</w:t>
            </w:r>
            <w:r w:rsidRPr="007611A4">
              <w:rPr>
                <w:rStyle w:val="FootnoteReference"/>
              </w:rPr>
              <w:footnoteReference w:id="6"/>
            </w:r>
            <w:r w:rsidRPr="007611A4">
              <w:t xml:space="preserve"> § 110 lg 1</w:t>
            </w:r>
          </w:p>
          <w:p w:rsidR="00B53666" w:rsidRPr="007611A4" w:rsidRDefault="00B53666" w:rsidP="003F07CE">
            <w:pPr>
              <w:rPr>
                <w:rFonts w:ascii="Roboto" w:hAnsi="Roboto"/>
                <w:lang w:val="et-EE"/>
              </w:rPr>
            </w:pPr>
          </w:p>
        </w:tc>
        <w:tc>
          <w:tcPr>
            <w:tcW w:w="3088" w:type="dxa"/>
          </w:tcPr>
          <w:p w:rsidR="00B53666" w:rsidRPr="007611A4" w:rsidRDefault="00B53666" w:rsidP="003F07CE">
            <w:pPr>
              <w:rPr>
                <w:rFonts w:ascii="Roboto" w:hAnsi="Roboto"/>
                <w:lang w:val="et-EE"/>
              </w:rPr>
            </w:pPr>
            <w:r w:rsidRPr="007611A4">
              <w:rPr>
                <w:rFonts w:ascii="Roboto" w:hAnsi="Roboto"/>
                <w:lang w:val="et-EE"/>
              </w:rPr>
              <w:t>Investeerimisühing</w:t>
            </w:r>
          </w:p>
        </w:tc>
        <w:tc>
          <w:tcPr>
            <w:tcW w:w="3114" w:type="dxa"/>
          </w:tcPr>
          <w:p w:rsidR="00B53666" w:rsidRPr="007611A4" w:rsidRDefault="00B53666" w:rsidP="003F07CE">
            <w:pPr>
              <w:rPr>
                <w:rFonts w:ascii="Roboto" w:hAnsi="Roboto"/>
                <w:lang w:val="et-EE"/>
              </w:rPr>
            </w:pPr>
            <w:r w:rsidRPr="007611A4">
              <w:rPr>
                <w:rFonts w:ascii="Roboto" w:hAnsi="Roboto"/>
                <w:lang w:val="et-EE"/>
              </w:rPr>
              <w:t>Nelja kuu jooksul pärast majandusaasta lõppu</w:t>
            </w:r>
          </w:p>
        </w:tc>
      </w:tr>
      <w:tr w:rsidR="00B53666" w:rsidRPr="007611A4" w:rsidTr="007611A4">
        <w:tc>
          <w:tcPr>
            <w:tcW w:w="3369" w:type="dxa"/>
          </w:tcPr>
          <w:p w:rsidR="00B53666" w:rsidRPr="007611A4" w:rsidRDefault="00B53666" w:rsidP="003F07CE">
            <w:pPr>
              <w:pStyle w:val="ListParagraph"/>
              <w:autoSpaceDE w:val="0"/>
              <w:autoSpaceDN w:val="0"/>
              <w:adjustRightInd w:val="0"/>
              <w:ind w:left="0"/>
              <w:jc w:val="both"/>
            </w:pPr>
            <w:r w:rsidRPr="007611A4">
              <w:t>Krediidiasutuste seadus</w:t>
            </w:r>
            <w:r w:rsidRPr="007611A4">
              <w:rPr>
                <w:rStyle w:val="FootnoteReference"/>
              </w:rPr>
              <w:footnoteReference w:id="7"/>
            </w:r>
            <w:r w:rsidRPr="007611A4">
              <w:t xml:space="preserve"> </w:t>
            </w:r>
            <w:r w:rsidRPr="007611A4">
              <w:rPr>
                <w:rFonts w:cs="TimesNewRomanPS-BoldMT"/>
              </w:rPr>
              <w:t>§ 92 lg 1</w:t>
            </w:r>
          </w:p>
        </w:tc>
        <w:tc>
          <w:tcPr>
            <w:tcW w:w="3088" w:type="dxa"/>
          </w:tcPr>
          <w:p w:rsidR="00B53666" w:rsidRPr="007611A4" w:rsidRDefault="00B53666" w:rsidP="003F07CE">
            <w:pPr>
              <w:rPr>
                <w:rFonts w:ascii="Roboto" w:hAnsi="Roboto"/>
                <w:lang w:val="et-EE"/>
              </w:rPr>
            </w:pPr>
            <w:r w:rsidRPr="007611A4">
              <w:rPr>
                <w:rFonts w:ascii="Roboto" w:hAnsi="Roboto"/>
                <w:lang w:val="et-EE"/>
              </w:rPr>
              <w:t>Krediidiasutus</w:t>
            </w:r>
          </w:p>
        </w:tc>
        <w:tc>
          <w:tcPr>
            <w:tcW w:w="3114" w:type="dxa"/>
          </w:tcPr>
          <w:p w:rsidR="00B53666" w:rsidRPr="007611A4" w:rsidRDefault="00B53666" w:rsidP="003F07CE">
            <w:pPr>
              <w:rPr>
                <w:rFonts w:ascii="Roboto" w:hAnsi="Roboto"/>
                <w:lang w:val="et-EE"/>
              </w:rPr>
            </w:pPr>
            <w:r w:rsidRPr="007611A4">
              <w:rPr>
                <w:rFonts w:ascii="Roboto" w:hAnsi="Roboto"/>
                <w:lang w:val="et-EE"/>
              </w:rPr>
              <w:t>Nelja kuu jooksul pärast majandusaasta lõppu</w:t>
            </w:r>
          </w:p>
        </w:tc>
      </w:tr>
    </w:tbl>
    <w:p w:rsidR="00B53666" w:rsidRPr="007611A4" w:rsidRDefault="00B53666" w:rsidP="00B53666">
      <w:pPr>
        <w:rPr>
          <w:rFonts w:ascii="Roboto" w:hAnsi="Roboto"/>
          <w:lang w:val="et-EE"/>
        </w:rPr>
      </w:pPr>
    </w:p>
    <w:p w:rsidR="00B53666" w:rsidRPr="007611A4" w:rsidRDefault="00B53666" w:rsidP="00B53666">
      <w:pPr>
        <w:numPr>
          <w:ilvl w:val="0"/>
          <w:numId w:val="13"/>
        </w:numPr>
        <w:ind w:left="357" w:hanging="357"/>
        <w:rPr>
          <w:rFonts w:ascii="Roboto" w:hAnsi="Roboto"/>
          <w:lang w:val="et-EE"/>
        </w:rPr>
      </w:pPr>
      <w:r w:rsidRPr="007611A4">
        <w:rPr>
          <w:rFonts w:ascii="Roboto" w:hAnsi="Roboto"/>
          <w:lang w:val="et-EE"/>
        </w:rPr>
        <w:t>EKOMAR-i esitamise tähtaeg on 1. juuli.</w:t>
      </w:r>
    </w:p>
    <w:p w:rsidR="00B53666" w:rsidRPr="007611A4" w:rsidRDefault="00B53666" w:rsidP="00B53666">
      <w:pPr>
        <w:rPr>
          <w:rFonts w:ascii="Roboto" w:hAnsi="Roboto"/>
          <w:lang w:val="et-EE"/>
        </w:rPr>
      </w:pPr>
    </w:p>
    <w:p w:rsidR="00B53666" w:rsidRPr="007611A4" w:rsidRDefault="007611A4" w:rsidP="007611A4">
      <w:pPr>
        <w:numPr>
          <w:ilvl w:val="0"/>
          <w:numId w:val="13"/>
        </w:numPr>
        <w:ind w:left="357" w:hanging="357"/>
        <w:jc w:val="both"/>
        <w:rPr>
          <w:rFonts w:ascii="Roboto" w:hAnsi="Roboto"/>
          <w:lang w:val="et-EE"/>
        </w:rPr>
      </w:pPr>
      <w:r w:rsidRPr="007611A4">
        <w:rPr>
          <w:rFonts w:ascii="Roboto" w:hAnsi="Roboto"/>
          <w:lang w:val="et-EE"/>
        </w:rPr>
        <w:t xml:space="preserve">EKOMAR-i täitmine on raskendatud, kui küsimustikku ei ole olnud võimalik täita MAA andmetega. Seda siis juhul, kui MAA-d ei ole esitatud äriregistrile </w:t>
      </w:r>
      <w:r w:rsidRPr="007611A4">
        <w:rPr>
          <w:rFonts w:ascii="Roboto" w:hAnsi="Roboto"/>
          <w:lang w:val="et-EE"/>
        </w:rPr>
        <w:lastRenderedPageBreak/>
        <w:t>tähtajaks. R</w:t>
      </w:r>
      <w:r w:rsidR="00CC5C5C">
        <w:rPr>
          <w:rFonts w:ascii="Roboto" w:hAnsi="Roboto"/>
          <w:lang w:val="et-EE"/>
        </w:rPr>
        <w:t>egistrite ja Infosüsteemide</w:t>
      </w:r>
      <w:r w:rsidRPr="007611A4">
        <w:rPr>
          <w:rFonts w:ascii="Roboto" w:hAnsi="Roboto"/>
          <w:lang w:val="et-EE"/>
        </w:rPr>
        <w:t xml:space="preserve"> Keskuse andmetel oli nt 2018.a. MAA esitatud juuni lõpuks 50% ettevõtetest:</w:t>
      </w:r>
    </w:p>
    <w:tbl>
      <w:tblPr>
        <w:tblpPr w:leftFromText="141" w:rightFromText="141" w:vertAnchor="text" w:horzAnchor="margin" w:tblpXSpec="center" w:tblpY="68"/>
        <w:tblW w:w="86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4"/>
        <w:gridCol w:w="1755"/>
        <w:gridCol w:w="2061"/>
        <w:gridCol w:w="1701"/>
        <w:gridCol w:w="1541"/>
      </w:tblGrid>
      <w:tr w:rsidR="007611A4" w:rsidRPr="007611A4" w:rsidTr="00416D4E">
        <w:trPr>
          <w:trHeight w:val="322"/>
        </w:trPr>
        <w:tc>
          <w:tcPr>
            <w:tcW w:w="1614" w:type="dxa"/>
            <w:tcBorders>
              <w:bottom w:val="single" w:sz="12" w:space="0" w:color="666666"/>
            </w:tcBorders>
            <w:noWrap/>
            <w:hideMark/>
          </w:tcPr>
          <w:p w:rsidR="007611A4" w:rsidRPr="007611A4" w:rsidRDefault="007611A4" w:rsidP="007611A4">
            <w:pPr>
              <w:jc w:val="center"/>
              <w:rPr>
                <w:rFonts w:ascii="Roboto" w:hAnsi="Roboto" w:cs="Calibri"/>
                <w:b/>
                <w:bCs/>
                <w:lang w:val="et-EE"/>
              </w:rPr>
            </w:pPr>
            <w:r w:rsidRPr="007611A4">
              <w:rPr>
                <w:rFonts w:ascii="Roboto" w:hAnsi="Roboto" w:cs="Calibri"/>
                <w:b/>
                <w:bCs/>
                <w:lang w:val="et-EE" w:eastAsia="et-EE"/>
              </w:rPr>
              <w:t>Majandusaasta</w:t>
            </w:r>
          </w:p>
        </w:tc>
        <w:tc>
          <w:tcPr>
            <w:tcW w:w="1755" w:type="dxa"/>
            <w:tcBorders>
              <w:bottom w:val="single" w:sz="12" w:space="0" w:color="666666"/>
            </w:tcBorders>
            <w:noWrap/>
            <w:hideMark/>
          </w:tcPr>
          <w:p w:rsidR="00416D4E" w:rsidRDefault="007611A4" w:rsidP="007611A4">
            <w:pPr>
              <w:jc w:val="center"/>
              <w:rPr>
                <w:rFonts w:ascii="Roboto" w:hAnsi="Roboto" w:cs="Calibri"/>
                <w:b/>
                <w:bCs/>
                <w:lang w:val="et-EE" w:eastAsia="et-EE"/>
              </w:rPr>
            </w:pPr>
            <w:r w:rsidRPr="007611A4">
              <w:rPr>
                <w:rFonts w:ascii="Roboto" w:hAnsi="Roboto" w:cs="Calibri"/>
                <w:b/>
                <w:bCs/>
                <w:lang w:val="et-EE" w:eastAsia="et-EE"/>
              </w:rPr>
              <w:t>Esitatud</w:t>
            </w:r>
          </w:p>
          <w:p w:rsidR="007611A4" w:rsidRPr="007611A4" w:rsidRDefault="00416D4E" w:rsidP="00416D4E">
            <w:pPr>
              <w:jc w:val="center"/>
              <w:rPr>
                <w:rFonts w:ascii="Roboto" w:hAnsi="Roboto" w:cs="Calibri"/>
                <w:b/>
                <w:bCs/>
                <w:lang w:val="et-EE"/>
              </w:rPr>
            </w:pPr>
            <w:r>
              <w:rPr>
                <w:rFonts w:ascii="Roboto" w:hAnsi="Roboto" w:cs="Calibri"/>
                <w:b/>
                <w:bCs/>
                <w:lang w:val="et-EE" w:eastAsia="et-EE"/>
              </w:rPr>
              <w:t>kuupäevaks</w:t>
            </w:r>
          </w:p>
        </w:tc>
        <w:tc>
          <w:tcPr>
            <w:tcW w:w="2061" w:type="dxa"/>
            <w:tcBorders>
              <w:bottom w:val="single" w:sz="12" w:space="0" w:color="666666"/>
            </w:tcBorders>
            <w:noWrap/>
            <w:hideMark/>
          </w:tcPr>
          <w:p w:rsidR="007611A4" w:rsidRPr="007611A4" w:rsidRDefault="007611A4" w:rsidP="00416D4E">
            <w:pPr>
              <w:jc w:val="center"/>
              <w:rPr>
                <w:rFonts w:ascii="Roboto" w:hAnsi="Roboto" w:cs="Calibri"/>
                <w:b/>
                <w:bCs/>
                <w:lang w:val="et-EE"/>
              </w:rPr>
            </w:pPr>
            <w:r w:rsidRPr="007611A4">
              <w:rPr>
                <w:rFonts w:ascii="Roboto" w:hAnsi="Roboto" w:cs="Calibri"/>
                <w:b/>
                <w:bCs/>
                <w:lang w:val="et-EE" w:eastAsia="et-EE"/>
              </w:rPr>
              <w:t>Prognoos</w:t>
            </w:r>
            <w:r w:rsidR="00416D4E">
              <w:rPr>
                <w:rFonts w:ascii="Roboto" w:hAnsi="Roboto" w:cs="Calibri"/>
                <w:b/>
                <w:bCs/>
                <w:lang w:val="et-EE" w:eastAsia="et-EE"/>
              </w:rPr>
              <w:t>itud esitajad (arv)</w:t>
            </w:r>
          </w:p>
        </w:tc>
        <w:tc>
          <w:tcPr>
            <w:tcW w:w="1701" w:type="dxa"/>
            <w:tcBorders>
              <w:bottom w:val="single" w:sz="12" w:space="0" w:color="666666"/>
            </w:tcBorders>
            <w:noWrap/>
            <w:hideMark/>
          </w:tcPr>
          <w:p w:rsidR="007611A4" w:rsidRPr="007611A4" w:rsidRDefault="00416D4E" w:rsidP="00416D4E">
            <w:pPr>
              <w:jc w:val="center"/>
              <w:rPr>
                <w:rFonts w:ascii="Roboto" w:hAnsi="Roboto" w:cs="Calibri"/>
                <w:b/>
                <w:bCs/>
                <w:lang w:val="et-EE"/>
              </w:rPr>
            </w:pPr>
            <w:r>
              <w:rPr>
                <w:rFonts w:ascii="Roboto" w:hAnsi="Roboto" w:cs="Calibri"/>
                <w:b/>
                <w:bCs/>
                <w:lang w:val="et-EE" w:eastAsia="et-EE"/>
              </w:rPr>
              <w:t>Tegelikult esitanud (arv)</w:t>
            </w:r>
          </w:p>
        </w:tc>
        <w:tc>
          <w:tcPr>
            <w:tcW w:w="1541" w:type="dxa"/>
            <w:tcBorders>
              <w:bottom w:val="single" w:sz="12" w:space="0" w:color="666666"/>
            </w:tcBorders>
            <w:noWrap/>
            <w:hideMark/>
          </w:tcPr>
          <w:p w:rsidR="007611A4" w:rsidRPr="007611A4" w:rsidRDefault="00416D4E" w:rsidP="00416D4E">
            <w:pPr>
              <w:jc w:val="center"/>
              <w:rPr>
                <w:rFonts w:ascii="Roboto" w:hAnsi="Roboto" w:cs="Calibri"/>
                <w:b/>
                <w:bCs/>
                <w:lang w:val="et-EE"/>
              </w:rPr>
            </w:pPr>
            <w:r>
              <w:rPr>
                <w:rFonts w:ascii="Roboto" w:hAnsi="Roboto" w:cs="Calibri"/>
                <w:b/>
                <w:bCs/>
                <w:lang w:val="et-EE"/>
              </w:rPr>
              <w:t>Tegelikult esitanud (%)</w:t>
            </w:r>
          </w:p>
        </w:tc>
      </w:tr>
      <w:tr w:rsidR="007611A4" w:rsidRPr="007611A4" w:rsidTr="00416D4E">
        <w:trPr>
          <w:trHeight w:val="322"/>
        </w:trPr>
        <w:tc>
          <w:tcPr>
            <w:tcW w:w="1614" w:type="dxa"/>
            <w:noWrap/>
            <w:hideMark/>
          </w:tcPr>
          <w:p w:rsidR="007611A4" w:rsidRPr="007611A4" w:rsidRDefault="007611A4" w:rsidP="007611A4">
            <w:pPr>
              <w:jc w:val="right"/>
              <w:rPr>
                <w:rFonts w:ascii="Roboto" w:hAnsi="Roboto" w:cs="Calibri"/>
                <w:bCs/>
                <w:lang w:val="et-EE"/>
              </w:rPr>
            </w:pPr>
            <w:r w:rsidRPr="007611A4">
              <w:rPr>
                <w:rFonts w:ascii="Roboto" w:hAnsi="Roboto" w:cs="Calibri"/>
                <w:bCs/>
                <w:lang w:val="et-EE" w:eastAsia="et-EE"/>
              </w:rPr>
              <w:t>2018</w:t>
            </w:r>
          </w:p>
        </w:tc>
        <w:tc>
          <w:tcPr>
            <w:tcW w:w="1755"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30.06.2019</w:t>
            </w:r>
          </w:p>
        </w:tc>
        <w:tc>
          <w:tcPr>
            <w:tcW w:w="2061"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223 968</w:t>
            </w:r>
          </w:p>
        </w:tc>
        <w:tc>
          <w:tcPr>
            <w:tcW w:w="1701"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113 207</w:t>
            </w:r>
          </w:p>
        </w:tc>
        <w:tc>
          <w:tcPr>
            <w:tcW w:w="1541"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50</w:t>
            </w:r>
          </w:p>
        </w:tc>
      </w:tr>
      <w:tr w:rsidR="007611A4" w:rsidRPr="007611A4" w:rsidTr="00416D4E">
        <w:trPr>
          <w:trHeight w:val="322"/>
        </w:trPr>
        <w:tc>
          <w:tcPr>
            <w:tcW w:w="1614" w:type="dxa"/>
            <w:noWrap/>
            <w:hideMark/>
          </w:tcPr>
          <w:p w:rsidR="007611A4" w:rsidRPr="007611A4" w:rsidRDefault="007611A4" w:rsidP="007611A4">
            <w:pPr>
              <w:jc w:val="right"/>
              <w:rPr>
                <w:rFonts w:ascii="Roboto" w:hAnsi="Roboto" w:cs="Calibri"/>
                <w:bCs/>
                <w:lang w:val="et-EE"/>
              </w:rPr>
            </w:pPr>
            <w:r w:rsidRPr="007611A4">
              <w:rPr>
                <w:rFonts w:ascii="Roboto" w:hAnsi="Roboto" w:cs="Calibri"/>
                <w:bCs/>
                <w:lang w:val="et-EE" w:eastAsia="et-EE"/>
              </w:rPr>
              <w:t>2018</w:t>
            </w:r>
          </w:p>
        </w:tc>
        <w:tc>
          <w:tcPr>
            <w:tcW w:w="1755"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09.09.2019</w:t>
            </w:r>
          </w:p>
        </w:tc>
        <w:tc>
          <w:tcPr>
            <w:tcW w:w="2061"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223 968</w:t>
            </w:r>
          </w:p>
        </w:tc>
        <w:tc>
          <w:tcPr>
            <w:tcW w:w="1701"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139 535</w:t>
            </w:r>
          </w:p>
        </w:tc>
        <w:tc>
          <w:tcPr>
            <w:tcW w:w="1541" w:type="dxa"/>
            <w:noWrap/>
            <w:hideMark/>
          </w:tcPr>
          <w:p w:rsidR="007611A4" w:rsidRPr="007611A4" w:rsidRDefault="007611A4" w:rsidP="007611A4">
            <w:pPr>
              <w:jc w:val="right"/>
              <w:rPr>
                <w:rFonts w:ascii="Roboto" w:hAnsi="Roboto" w:cs="Calibri"/>
                <w:lang w:val="et-EE"/>
              </w:rPr>
            </w:pPr>
            <w:r w:rsidRPr="007611A4">
              <w:rPr>
                <w:rFonts w:ascii="Roboto" w:hAnsi="Roboto" w:cs="Calibri"/>
                <w:lang w:val="et-EE" w:eastAsia="et-EE"/>
              </w:rPr>
              <w:t>62</w:t>
            </w:r>
          </w:p>
        </w:tc>
      </w:tr>
    </w:tbl>
    <w:p w:rsidR="007611A4" w:rsidRPr="007611A4" w:rsidRDefault="007611A4" w:rsidP="007611A4">
      <w:pPr>
        <w:rPr>
          <w:rFonts w:ascii="Roboto" w:hAnsi="Roboto"/>
          <w:lang w:val="et-EE"/>
        </w:rPr>
      </w:pPr>
    </w:p>
    <w:p w:rsidR="008F3752" w:rsidRPr="007611A4" w:rsidRDefault="001846FB" w:rsidP="00C3459E">
      <w:pPr>
        <w:pStyle w:val="ListParagraph"/>
        <w:numPr>
          <w:ilvl w:val="0"/>
          <w:numId w:val="13"/>
        </w:numPr>
        <w:ind w:left="357" w:hanging="357"/>
        <w:jc w:val="both"/>
      </w:pPr>
      <w:r>
        <w:t xml:space="preserve">Pikem MAA laekumise trendijoon (vt joonis 3) näitab, et </w:t>
      </w:r>
      <w:r w:rsidR="00C3459E">
        <w:t>majandusaasta aruannete tähtaegse laekumise osakaal on olnud aastaid sarnases vahemikus.</w:t>
      </w:r>
    </w:p>
    <w:p w:rsidR="000E0FA8" w:rsidRDefault="006A4FC3" w:rsidP="00CB3D23">
      <w:pPr>
        <w:pStyle w:val="ListParagraph"/>
        <w:ind w:left="0"/>
      </w:pPr>
      <w:r>
        <w:rPr>
          <w:noProof/>
          <w:lang w:eastAsia="et-EE"/>
        </w:rPr>
        <w:drawing>
          <wp:inline distT="0" distB="0" distL="0" distR="0">
            <wp:extent cx="5795645" cy="2761615"/>
            <wp:effectExtent l="0" t="0" r="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5645" cy="2761615"/>
                    </a:xfrm>
                    <a:prstGeom prst="rect">
                      <a:avLst/>
                    </a:prstGeom>
                    <a:noFill/>
                  </pic:spPr>
                </pic:pic>
              </a:graphicData>
            </a:graphic>
          </wp:inline>
        </w:drawing>
      </w:r>
    </w:p>
    <w:p w:rsidR="0085793B" w:rsidRDefault="001846FB" w:rsidP="001846FB">
      <w:pPr>
        <w:pStyle w:val="ListParagraph"/>
        <w:ind w:left="0"/>
      </w:pPr>
      <w:r w:rsidRPr="000F5074">
        <w:rPr>
          <w:b/>
        </w:rPr>
        <w:t>Joonis 3.</w:t>
      </w:r>
      <w:r>
        <w:t xml:space="preserve"> </w:t>
      </w:r>
      <w:r w:rsidRPr="001846FB">
        <w:t>MAA laekumise tähtajalisus (6 kuud peale üksuse majandusaasta lõppu, viimase versiooni esitamise aeg)</w:t>
      </w:r>
    </w:p>
    <w:p w:rsidR="0085793B" w:rsidRDefault="0085793B" w:rsidP="00CB3D23">
      <w:pPr>
        <w:pStyle w:val="ListParagraph"/>
        <w:ind w:left="0"/>
      </w:pPr>
    </w:p>
    <w:p w:rsidR="00C3459E" w:rsidRDefault="00C3459E" w:rsidP="00C3459E">
      <w:pPr>
        <w:pStyle w:val="ListParagraph"/>
        <w:numPr>
          <w:ilvl w:val="0"/>
          <w:numId w:val="13"/>
        </w:numPr>
        <w:ind w:left="357" w:hanging="357"/>
      </w:pPr>
      <w:r>
        <w:t xml:space="preserve"> Teiste riikide praktika näitab, et </w:t>
      </w:r>
      <w:r w:rsidRPr="000F5074">
        <w:rPr>
          <w:b/>
        </w:rPr>
        <w:t>paljudel on majandusaasta aruannete esitamise tähtajad lühemad kui kuus kuud pärast aruandeaasta lõppu</w:t>
      </w:r>
      <w:r>
        <w:t>:</w:t>
      </w:r>
    </w:p>
    <w:p w:rsidR="00C3459E" w:rsidRPr="00C3459E" w:rsidRDefault="00C3459E" w:rsidP="00C3459E">
      <w:pPr>
        <w:pStyle w:val="ListParagraph"/>
        <w:numPr>
          <w:ilvl w:val="1"/>
          <w:numId w:val="13"/>
        </w:numPr>
        <w:autoSpaceDE w:val="0"/>
        <w:autoSpaceDN w:val="0"/>
        <w:adjustRightInd w:val="0"/>
        <w:jc w:val="both"/>
      </w:pPr>
      <w:r w:rsidRPr="00C3459E">
        <w:t>Läti: ilma auditeerimiskohustuseta 4 kuud, auditeerimiskohustusega 7 kuud</w:t>
      </w:r>
    </w:p>
    <w:p w:rsidR="00C3459E" w:rsidRPr="00C3459E" w:rsidRDefault="00C3459E" w:rsidP="00C3459E">
      <w:pPr>
        <w:pStyle w:val="ListParagraph"/>
        <w:numPr>
          <w:ilvl w:val="1"/>
          <w:numId w:val="13"/>
        </w:numPr>
        <w:autoSpaceDE w:val="0"/>
        <w:autoSpaceDN w:val="0"/>
        <w:adjustRightInd w:val="0"/>
        <w:jc w:val="both"/>
      </w:pPr>
      <w:r w:rsidRPr="00C3459E">
        <w:lastRenderedPageBreak/>
        <w:t>Leedu: 4 kuud</w:t>
      </w:r>
    </w:p>
    <w:p w:rsidR="00C3459E" w:rsidRPr="00C3459E" w:rsidRDefault="00C3459E" w:rsidP="00C3459E">
      <w:pPr>
        <w:pStyle w:val="ListParagraph"/>
        <w:numPr>
          <w:ilvl w:val="1"/>
          <w:numId w:val="13"/>
        </w:numPr>
        <w:autoSpaceDE w:val="0"/>
        <w:autoSpaceDN w:val="0"/>
        <w:adjustRightInd w:val="0"/>
        <w:jc w:val="both"/>
      </w:pPr>
      <w:r w:rsidRPr="00C3459E">
        <w:t>Soome: 4 kuud</w:t>
      </w:r>
    </w:p>
    <w:p w:rsidR="00C3459E" w:rsidRPr="00C3459E" w:rsidRDefault="00C3459E" w:rsidP="00C3459E">
      <w:pPr>
        <w:pStyle w:val="ListParagraph"/>
        <w:numPr>
          <w:ilvl w:val="1"/>
          <w:numId w:val="13"/>
        </w:numPr>
        <w:autoSpaceDE w:val="0"/>
        <w:autoSpaceDN w:val="0"/>
        <w:adjustRightInd w:val="0"/>
        <w:jc w:val="both"/>
      </w:pPr>
      <w:r w:rsidRPr="00C3459E">
        <w:t>Saksamaa: Suured ettevõtted 3 kuud, väikesed 6 kuud</w:t>
      </w:r>
    </w:p>
    <w:p w:rsidR="00C3459E" w:rsidRPr="007611A4" w:rsidRDefault="00C3459E" w:rsidP="00C3459E">
      <w:pPr>
        <w:pStyle w:val="ListParagraph"/>
        <w:ind w:left="340"/>
      </w:pPr>
      <w:r>
        <w:t>Lisaks mitmel riigil arvestatakse majandusaasta aruande esitamise tähtaja eristamisel auditeerimiskohustust ehk auditeerimiskohustusega üksustel on hilisem esitamise tähtaeg.</w:t>
      </w:r>
    </w:p>
    <w:p w:rsidR="00C1487B" w:rsidRDefault="00CC0EB1" w:rsidP="00C1487B">
      <w:pPr>
        <w:pStyle w:val="Title"/>
        <w:rPr>
          <w:lang w:val="et-EE"/>
        </w:rPr>
      </w:pPr>
      <w:r>
        <w:rPr>
          <w:lang w:val="et-EE"/>
        </w:rPr>
        <w:t xml:space="preserve">Lahendamist </w:t>
      </w:r>
      <w:r w:rsidR="00C1487B" w:rsidRPr="007611A4">
        <w:rPr>
          <w:lang w:val="et-EE"/>
        </w:rPr>
        <w:t xml:space="preserve">vajavad </w:t>
      </w:r>
      <w:r>
        <w:rPr>
          <w:lang w:val="et-EE"/>
        </w:rPr>
        <w:t>kitsas</w:t>
      </w:r>
      <w:r w:rsidR="00C1487B" w:rsidRPr="007611A4">
        <w:rPr>
          <w:lang w:val="et-EE"/>
        </w:rPr>
        <w:t>kohad</w:t>
      </w:r>
    </w:p>
    <w:p w:rsidR="008D33A3" w:rsidRPr="008D33A3" w:rsidRDefault="008D33A3" w:rsidP="008D33A3">
      <w:pPr>
        <w:rPr>
          <w:rFonts w:ascii="Roboto" w:hAnsi="Roboto"/>
          <w:lang w:val="et-EE"/>
        </w:rPr>
      </w:pPr>
    </w:p>
    <w:p w:rsidR="008D33A3" w:rsidRDefault="008D33A3" w:rsidP="00885237">
      <w:pPr>
        <w:numPr>
          <w:ilvl w:val="0"/>
          <w:numId w:val="13"/>
        </w:numPr>
        <w:ind w:left="357" w:hanging="357"/>
        <w:jc w:val="both"/>
        <w:rPr>
          <w:rFonts w:ascii="Roboto" w:hAnsi="Roboto"/>
          <w:lang w:val="et-EE"/>
        </w:rPr>
      </w:pPr>
      <w:r w:rsidRPr="008D33A3">
        <w:rPr>
          <w:rFonts w:ascii="Roboto" w:hAnsi="Roboto"/>
          <w:lang w:val="et-EE"/>
        </w:rPr>
        <w:t xml:space="preserve">Elektrooniline majandusaasta aruannete esitamine on tänaseks juurutatud ja andmeesitajate poolt olulises osas kasutusse võetud. Statistikaamet on rakendanud ühekordse andmete esitamise printsiipi ja võtnud majandusaasta aruande andmed statistika tegemisel kasutusele, vähendades sellega andmeesitajate halduskoormust. </w:t>
      </w:r>
    </w:p>
    <w:p w:rsidR="008D33A3" w:rsidRDefault="008D33A3" w:rsidP="008D33A3">
      <w:pPr>
        <w:jc w:val="both"/>
        <w:rPr>
          <w:rFonts w:ascii="Roboto" w:hAnsi="Roboto"/>
          <w:lang w:val="et-EE"/>
        </w:rPr>
      </w:pPr>
    </w:p>
    <w:p w:rsidR="008D33A3" w:rsidRDefault="008D33A3" w:rsidP="00885237">
      <w:pPr>
        <w:numPr>
          <w:ilvl w:val="0"/>
          <w:numId w:val="13"/>
        </w:numPr>
        <w:ind w:left="357" w:hanging="357"/>
        <w:jc w:val="both"/>
        <w:rPr>
          <w:rFonts w:ascii="Roboto" w:hAnsi="Roboto"/>
          <w:lang w:val="et-EE"/>
        </w:rPr>
      </w:pPr>
      <w:r w:rsidRPr="008D33A3">
        <w:rPr>
          <w:rFonts w:ascii="Roboto" w:hAnsi="Roboto"/>
          <w:lang w:val="et-EE"/>
        </w:rPr>
        <w:t xml:space="preserve">Selleks, et saaks </w:t>
      </w:r>
      <w:r>
        <w:rPr>
          <w:rFonts w:ascii="Roboto" w:hAnsi="Roboto"/>
          <w:lang w:val="et-EE"/>
        </w:rPr>
        <w:t>jätkata riigi</w:t>
      </w:r>
      <w:r w:rsidR="00CC5C5C">
        <w:rPr>
          <w:rFonts w:ascii="Roboto" w:hAnsi="Roboto"/>
          <w:lang w:val="et-EE"/>
        </w:rPr>
        <w:t>le</w:t>
      </w:r>
      <w:r w:rsidR="00CC0EB1">
        <w:rPr>
          <w:rFonts w:ascii="Roboto" w:hAnsi="Roboto"/>
          <w:lang w:val="et-EE"/>
        </w:rPr>
        <w:t xml:space="preserve"> esitatud andmete ristkasutamisega (VVTP 3.13) ja täiendavalt vähendata ettevõtjate halduskoormust (VVTP 12.5, 13.2)</w:t>
      </w:r>
      <w:r w:rsidRPr="008D33A3">
        <w:rPr>
          <w:rFonts w:ascii="Roboto" w:hAnsi="Roboto"/>
          <w:lang w:val="et-EE"/>
        </w:rPr>
        <w:t xml:space="preserve">, oleks vaja </w:t>
      </w:r>
      <w:r>
        <w:rPr>
          <w:rFonts w:ascii="Roboto" w:hAnsi="Roboto"/>
          <w:lang w:val="et-EE"/>
        </w:rPr>
        <w:t>leida lahendus järgmistele kitsaskohtadele:</w:t>
      </w:r>
    </w:p>
    <w:p w:rsidR="00CC5C5C" w:rsidRDefault="00CC5C5C" w:rsidP="00CC5C5C">
      <w:pPr>
        <w:numPr>
          <w:ilvl w:val="1"/>
          <w:numId w:val="13"/>
        </w:numPr>
        <w:jc w:val="both"/>
        <w:rPr>
          <w:rFonts w:ascii="Roboto" w:hAnsi="Roboto"/>
          <w:lang w:val="et-EE"/>
        </w:rPr>
      </w:pPr>
      <w:r w:rsidRPr="00D60820">
        <w:rPr>
          <w:rFonts w:ascii="Roboto" w:hAnsi="Roboto"/>
          <w:b/>
          <w:lang w:val="et-EE"/>
        </w:rPr>
        <w:t>Majandusaasta aruande esitamise tähtaeg</w:t>
      </w:r>
      <w:r w:rsidRPr="00CC5C5C">
        <w:rPr>
          <w:rFonts w:ascii="Roboto" w:hAnsi="Roboto"/>
          <w:lang w:val="et-EE"/>
        </w:rPr>
        <w:t xml:space="preserve"> — </w:t>
      </w:r>
      <w:r>
        <w:rPr>
          <w:rFonts w:ascii="Roboto" w:hAnsi="Roboto"/>
          <w:lang w:val="et-EE"/>
        </w:rPr>
        <w:t xml:space="preserve">Majandusaasta aruande esitamise tähtaega </w:t>
      </w:r>
      <w:r w:rsidRPr="00CC5C5C">
        <w:rPr>
          <w:rFonts w:ascii="Roboto" w:hAnsi="Roboto"/>
          <w:lang w:val="et-EE"/>
        </w:rPr>
        <w:t xml:space="preserve">6 kuud pärast majandusaasta lõppu </w:t>
      </w:r>
      <w:r>
        <w:rPr>
          <w:rFonts w:ascii="Roboto" w:hAnsi="Roboto"/>
          <w:lang w:val="et-EE"/>
        </w:rPr>
        <w:t>pole muudetud ligi 20 aastat. Samas on infotehnoloogilised võimalused selle aja jooksul paranenud märkimisväärselt võimaldades lühemaid MAA esitamise tähtaegu.</w:t>
      </w:r>
    </w:p>
    <w:p w:rsidR="00CC0EB1" w:rsidRPr="00CC0EB1" w:rsidRDefault="00CC0EB1" w:rsidP="00CC0EB1">
      <w:pPr>
        <w:numPr>
          <w:ilvl w:val="1"/>
          <w:numId w:val="13"/>
        </w:numPr>
        <w:jc w:val="both"/>
        <w:rPr>
          <w:rFonts w:ascii="Roboto" w:hAnsi="Roboto"/>
          <w:lang w:val="et-EE"/>
        </w:rPr>
      </w:pPr>
      <w:r w:rsidRPr="00D60820">
        <w:rPr>
          <w:rFonts w:ascii="Roboto" w:hAnsi="Roboto"/>
          <w:b/>
          <w:lang w:val="et-EE"/>
        </w:rPr>
        <w:t>Õigeaegset esitamist toetavad meetmed</w:t>
      </w:r>
      <w:r w:rsidRPr="00CC0EB1">
        <w:rPr>
          <w:rFonts w:ascii="Roboto" w:hAnsi="Roboto"/>
          <w:lang w:val="et-EE"/>
        </w:rPr>
        <w:t xml:space="preserve"> - </w:t>
      </w:r>
      <w:r>
        <w:rPr>
          <w:rFonts w:ascii="Roboto" w:hAnsi="Roboto"/>
          <w:lang w:val="et-EE"/>
        </w:rPr>
        <w:t>M</w:t>
      </w:r>
      <w:r w:rsidRPr="00CC0EB1">
        <w:rPr>
          <w:rFonts w:ascii="Roboto" w:hAnsi="Roboto"/>
          <w:lang w:val="et-EE"/>
        </w:rPr>
        <w:t xml:space="preserve">ajandusaasta aruande esitamata jätmise tõttu registrist kustutamise hoiatuste, likvideerimismenetluse alustamise tähtajad jms vajaksid läbivaatamist. Liialt </w:t>
      </w:r>
      <w:r w:rsidRPr="00CC0EB1">
        <w:rPr>
          <w:rFonts w:ascii="Roboto" w:hAnsi="Roboto"/>
          <w:lang w:val="et-EE"/>
        </w:rPr>
        <w:lastRenderedPageBreak/>
        <w:t>palju juriidilistest isikutest, sh ettevõtjatest, kes on kohustatud</w:t>
      </w:r>
      <w:r>
        <w:rPr>
          <w:rFonts w:ascii="Roboto" w:hAnsi="Roboto"/>
          <w:lang w:val="et-EE"/>
        </w:rPr>
        <w:t xml:space="preserve"> esitama majandusaasta aruande </w:t>
      </w:r>
      <w:r w:rsidRPr="00CC0EB1">
        <w:rPr>
          <w:rFonts w:ascii="Roboto" w:hAnsi="Roboto"/>
          <w:lang w:val="et-EE"/>
        </w:rPr>
        <w:t>jätavad aruande ilma mõjuva põhjuseta tähtaegselt esitamata ning saades seejuures vaid hoiatusmäärusega võimaluse teha seda 18 kuu jooksul (praktikas isegi enam) pärast majandusaasta lõppu (äriseadustik  § 60). Majandusaasta aruande andmete kasutajad vajavad informatsiooni oluliselt kiiremini.</w:t>
      </w:r>
    </w:p>
    <w:p w:rsidR="00CC5C5C" w:rsidRPr="00CC5C5C" w:rsidRDefault="00CC5C5C" w:rsidP="00CC5C5C">
      <w:pPr>
        <w:numPr>
          <w:ilvl w:val="1"/>
          <w:numId w:val="13"/>
        </w:numPr>
        <w:jc w:val="both"/>
        <w:rPr>
          <w:rFonts w:ascii="Roboto" w:hAnsi="Roboto"/>
          <w:lang w:val="et-EE"/>
        </w:rPr>
      </w:pPr>
      <w:r w:rsidRPr="00D60820">
        <w:rPr>
          <w:rFonts w:ascii="Roboto" w:hAnsi="Roboto"/>
          <w:b/>
          <w:lang w:val="et-EE"/>
        </w:rPr>
        <w:t>Andmekogumise dubleerimine</w:t>
      </w:r>
      <w:r w:rsidRPr="00CC5C5C">
        <w:rPr>
          <w:rFonts w:ascii="Roboto" w:hAnsi="Roboto"/>
          <w:lang w:val="et-EE"/>
        </w:rPr>
        <w:t xml:space="preserve"> </w:t>
      </w:r>
      <w:r>
        <w:rPr>
          <w:rFonts w:ascii="Roboto" w:hAnsi="Roboto"/>
          <w:lang w:val="et-EE"/>
        </w:rPr>
        <w:t>–</w:t>
      </w:r>
      <w:r w:rsidRPr="00CC5C5C">
        <w:rPr>
          <w:rFonts w:ascii="Roboto" w:hAnsi="Roboto"/>
          <w:lang w:val="et-EE"/>
        </w:rPr>
        <w:t xml:space="preserve"> </w:t>
      </w:r>
      <w:r>
        <w:rPr>
          <w:rFonts w:ascii="Roboto" w:hAnsi="Roboto"/>
          <w:lang w:val="et-EE"/>
        </w:rPr>
        <w:t xml:space="preserve">Endiselt </w:t>
      </w:r>
      <w:r w:rsidRPr="00CC5C5C">
        <w:rPr>
          <w:rFonts w:ascii="Roboto" w:hAnsi="Roboto"/>
          <w:lang w:val="et-EE"/>
        </w:rPr>
        <w:t>toimub paljude näitajate osas dubleeriv andmekogumine. Statistikaamet kogub statistilist ettevõtte kompleksset majandusaasta aruannet (EKOMAR) ning Registrite ja Infosüsteemide Keskusele tuleb esitada majandusaasta aruanded. Peamisteks probleemideks majandusaasta aruannete kasutuselevõtuks statistika tootmises on</w:t>
      </w:r>
      <w:r w:rsidR="001955F2" w:rsidRPr="001955F2">
        <w:rPr>
          <w:rFonts w:ascii="Roboto" w:hAnsi="Roboto"/>
          <w:lang w:val="et-EE"/>
        </w:rPr>
        <w:t xml:space="preserve"> </w:t>
      </w:r>
      <w:r w:rsidR="001955F2" w:rsidRPr="00CC5C5C">
        <w:rPr>
          <w:rFonts w:ascii="Roboto" w:hAnsi="Roboto"/>
          <w:lang w:val="et-EE"/>
        </w:rPr>
        <w:t>aruannete laekumise hiline tähtaeg</w:t>
      </w:r>
      <w:r w:rsidRPr="00CC5C5C">
        <w:rPr>
          <w:rFonts w:ascii="Roboto" w:hAnsi="Roboto"/>
          <w:lang w:val="et-EE"/>
        </w:rPr>
        <w:t xml:space="preserve">, </w:t>
      </w:r>
      <w:r w:rsidR="001955F2">
        <w:rPr>
          <w:rFonts w:ascii="Roboto" w:hAnsi="Roboto"/>
          <w:lang w:val="et-EE"/>
        </w:rPr>
        <w:t xml:space="preserve">ning aastaaruannete puudulikkus </w:t>
      </w:r>
      <w:r w:rsidRPr="00CC5C5C">
        <w:rPr>
          <w:rFonts w:ascii="Roboto" w:hAnsi="Roboto"/>
          <w:lang w:val="et-EE"/>
        </w:rPr>
        <w:t>tar</w:t>
      </w:r>
      <w:r w:rsidR="001955F2">
        <w:rPr>
          <w:rFonts w:ascii="Roboto" w:hAnsi="Roboto"/>
          <w:lang w:val="et-EE"/>
        </w:rPr>
        <w:t>bijate poolt nõutud andmete osas</w:t>
      </w:r>
      <w:r w:rsidRPr="00CC5C5C">
        <w:rPr>
          <w:rFonts w:ascii="Roboto" w:hAnsi="Roboto"/>
          <w:lang w:val="et-EE"/>
        </w:rPr>
        <w:t>. Kui puuduvate näitajate hinnangud on võimalik leida väiksemate ettevõtete puhul kasutades statistilisi mudeleid, siis aruannete sobival ajal kättesaamine on seni olnud lahendamata.</w:t>
      </w:r>
      <w:r w:rsidR="0002775A">
        <w:rPr>
          <w:rFonts w:ascii="Roboto" w:hAnsi="Roboto"/>
          <w:lang w:val="et-EE"/>
        </w:rPr>
        <w:t xml:space="preserve"> Viimane võib aga viia selleni, et peame taastama küsitlustega andmete kogumise, mis on ühest küljest ettevõtjate halduskoormust tõstev ning teisest küljest äärmiselt kallis ja töömahukas.</w:t>
      </w:r>
    </w:p>
    <w:p w:rsidR="00CC0EB1" w:rsidRDefault="00CC0EB1" w:rsidP="0002775A">
      <w:pPr>
        <w:jc w:val="both"/>
        <w:rPr>
          <w:rFonts w:ascii="Roboto" w:hAnsi="Roboto"/>
          <w:lang w:val="et-EE"/>
        </w:rPr>
      </w:pPr>
    </w:p>
    <w:p w:rsidR="008D33A3" w:rsidRDefault="0002775A" w:rsidP="0002775A">
      <w:pPr>
        <w:numPr>
          <w:ilvl w:val="0"/>
          <w:numId w:val="13"/>
        </w:numPr>
        <w:ind w:left="357" w:hanging="357"/>
        <w:jc w:val="both"/>
        <w:rPr>
          <w:rFonts w:ascii="Roboto" w:hAnsi="Roboto"/>
          <w:lang w:val="et-EE"/>
        </w:rPr>
      </w:pPr>
      <w:r w:rsidRPr="00D60820">
        <w:rPr>
          <w:rFonts w:ascii="Roboto" w:hAnsi="Roboto"/>
          <w:b/>
          <w:lang w:val="et-EE"/>
        </w:rPr>
        <w:t xml:space="preserve">Seega </w:t>
      </w:r>
      <w:r w:rsidR="00715D67">
        <w:rPr>
          <w:rFonts w:ascii="Roboto" w:hAnsi="Roboto"/>
          <w:b/>
          <w:lang w:val="et-EE"/>
        </w:rPr>
        <w:t xml:space="preserve">peamisi </w:t>
      </w:r>
      <w:r w:rsidRPr="00D60820">
        <w:rPr>
          <w:rFonts w:ascii="Roboto" w:hAnsi="Roboto"/>
          <w:b/>
          <w:lang w:val="et-EE"/>
        </w:rPr>
        <w:t xml:space="preserve">kitsaskohti saab lahendada </w:t>
      </w:r>
      <w:r w:rsidR="005A2387">
        <w:rPr>
          <w:rFonts w:ascii="Roboto" w:hAnsi="Roboto"/>
          <w:b/>
          <w:lang w:val="et-EE"/>
        </w:rPr>
        <w:t>vaadates üle</w:t>
      </w:r>
      <w:r w:rsidRPr="00D60820">
        <w:rPr>
          <w:rFonts w:ascii="Roboto" w:hAnsi="Roboto"/>
          <w:b/>
          <w:lang w:val="et-EE"/>
        </w:rPr>
        <w:t xml:space="preserve"> majandusaasta aruande esitamise tähta</w:t>
      </w:r>
      <w:r w:rsidR="005A2387">
        <w:rPr>
          <w:rFonts w:ascii="Roboto" w:hAnsi="Roboto"/>
          <w:b/>
          <w:lang w:val="et-EE"/>
        </w:rPr>
        <w:t>jad</w:t>
      </w:r>
      <w:r w:rsidRPr="00D60820">
        <w:rPr>
          <w:rFonts w:ascii="Roboto" w:hAnsi="Roboto"/>
          <w:b/>
          <w:lang w:val="et-EE"/>
        </w:rPr>
        <w:t xml:space="preserve"> ning leides ja rakendades õigeaegset esitamist toetavad meetmed. </w:t>
      </w:r>
      <w:r w:rsidR="005A2387" w:rsidRPr="009A145A">
        <w:rPr>
          <w:rFonts w:ascii="Roboto" w:hAnsi="Roboto"/>
          <w:lang w:val="et-EE"/>
        </w:rPr>
        <w:t xml:space="preserve">Siis ei teki vajadust hakata suurendama </w:t>
      </w:r>
      <w:r w:rsidRPr="009A145A">
        <w:rPr>
          <w:rFonts w:ascii="Roboto" w:hAnsi="Roboto"/>
          <w:lang w:val="et-EE"/>
        </w:rPr>
        <w:t>halduskoormust taastades dubleeriva andmekogumise vaid saaks väikestel ettevõtetel hoopis halduskoormust vähendada.</w:t>
      </w:r>
    </w:p>
    <w:p w:rsidR="001955F2" w:rsidRPr="009A145A" w:rsidRDefault="001955F2" w:rsidP="001955F2">
      <w:pPr>
        <w:ind w:left="357"/>
        <w:jc w:val="both"/>
        <w:rPr>
          <w:rFonts w:ascii="Roboto" w:hAnsi="Roboto"/>
          <w:lang w:val="et-EE"/>
        </w:rPr>
      </w:pPr>
      <w:bookmarkStart w:id="0" w:name="_GoBack"/>
      <w:bookmarkEnd w:id="0"/>
    </w:p>
    <w:p w:rsidR="0002775A" w:rsidRPr="008D33A3" w:rsidRDefault="0002775A" w:rsidP="00D60820">
      <w:pPr>
        <w:numPr>
          <w:ilvl w:val="0"/>
          <w:numId w:val="13"/>
        </w:numPr>
        <w:ind w:left="357" w:hanging="357"/>
        <w:jc w:val="both"/>
        <w:rPr>
          <w:rFonts w:ascii="Roboto" w:hAnsi="Roboto"/>
          <w:lang w:val="et-EE"/>
        </w:rPr>
      </w:pPr>
      <w:r>
        <w:rPr>
          <w:rFonts w:ascii="Roboto" w:hAnsi="Roboto"/>
          <w:lang w:val="et-EE"/>
        </w:rPr>
        <w:t xml:space="preserve">See võimaldaks Statistikaametil andmed varem avaldada ja seega paremini rahuldada tarbijate vajadusi ehk paraneb oluliselt statistika kvaliteet ja ajakohasus. Lisaks saab hakata tootma välismaiste tütarettevõtete (FATS - </w:t>
      </w:r>
      <w:r w:rsidR="00D60820" w:rsidRPr="00D60820">
        <w:rPr>
          <w:rFonts w:ascii="Roboto" w:hAnsi="Roboto"/>
          <w:i/>
          <w:lang w:val="et-EE"/>
        </w:rPr>
        <w:t xml:space="preserve">foreign </w:t>
      </w:r>
      <w:r w:rsidR="00D60820" w:rsidRPr="00D60820">
        <w:rPr>
          <w:rFonts w:ascii="Roboto" w:hAnsi="Roboto"/>
          <w:i/>
          <w:lang w:val="et-EE"/>
        </w:rPr>
        <w:lastRenderedPageBreak/>
        <w:t>affiliates statistics</w:t>
      </w:r>
      <w:r w:rsidR="00D60820" w:rsidRPr="00D60820">
        <w:rPr>
          <w:rFonts w:ascii="Roboto" w:hAnsi="Roboto"/>
          <w:lang w:val="et-EE"/>
        </w:rPr>
        <w:t>) statistikat ehk statistikat ettevõte üle lõpliku kontrolli omavate üksuste asukoha riikide lõikes. Praegu on see statistika vaid 20 ja enama hõivatuga ettevõtete kohta.</w:t>
      </w:r>
      <w:r w:rsidR="00D60820">
        <w:rPr>
          <w:rFonts w:ascii="Roboto" w:hAnsi="Roboto"/>
          <w:lang w:val="et-EE"/>
        </w:rPr>
        <w:t xml:space="preserve"> Statistikaamet saab hakata paremini tootma ka regionaalset statistikat. </w:t>
      </w:r>
      <w:r w:rsidR="00D60820" w:rsidRPr="00D60820">
        <w:rPr>
          <w:rFonts w:ascii="Roboto" w:hAnsi="Roboto"/>
          <w:lang w:val="et-EE"/>
        </w:rPr>
        <w:t>Seoses valikvaatluse kasutamisega on regionaalne ehk maakondlik ettevõtluse aastastatistika vaid kõikselt uuritud osa ehk 20 ja enam hõivatuga ettevõtete kohta. Kui on võimalus kasutada ka väiksemate ettevõtte andmeid varem, on võimalik hakata tootma kõiki suurusgruppe hõlmavat maakondliku statistikat ning kui konfidentsiaalsusnõuded lubavad miks mitte ka KOV ettevõtluse aastastatistikat.</w:t>
      </w:r>
    </w:p>
    <w:p w:rsidR="008F3752" w:rsidRPr="007611A4" w:rsidRDefault="00D60820" w:rsidP="00C1487B">
      <w:pPr>
        <w:pStyle w:val="Title"/>
        <w:rPr>
          <w:lang w:val="et-EE"/>
        </w:rPr>
      </w:pPr>
      <w:r>
        <w:rPr>
          <w:lang w:val="et-EE"/>
        </w:rPr>
        <w:t>E</w:t>
      </w:r>
      <w:r w:rsidR="008F3752" w:rsidRPr="007611A4">
        <w:rPr>
          <w:lang w:val="et-EE"/>
        </w:rPr>
        <w:t>ttepanekud</w:t>
      </w:r>
    </w:p>
    <w:p w:rsidR="00413D8F" w:rsidRPr="007611A4" w:rsidRDefault="00413D8F" w:rsidP="008F3752">
      <w:pPr>
        <w:jc w:val="both"/>
        <w:rPr>
          <w:rFonts w:ascii="Roboto" w:hAnsi="Roboto" w:cs="Arial"/>
          <w:b/>
          <w:lang w:val="et-EE"/>
        </w:rPr>
      </w:pPr>
    </w:p>
    <w:p w:rsidR="00D60820" w:rsidRDefault="00D60820" w:rsidP="000F5074">
      <w:pPr>
        <w:numPr>
          <w:ilvl w:val="0"/>
          <w:numId w:val="13"/>
        </w:numPr>
        <w:ind w:left="357" w:hanging="357"/>
        <w:jc w:val="both"/>
        <w:rPr>
          <w:rFonts w:ascii="Roboto" w:hAnsi="Roboto" w:cs="Arial"/>
          <w:lang w:val="et-EE"/>
        </w:rPr>
      </w:pPr>
      <w:r>
        <w:rPr>
          <w:rFonts w:ascii="Roboto" w:hAnsi="Roboto" w:cs="Arial"/>
          <w:lang w:val="et-EE"/>
        </w:rPr>
        <w:t xml:space="preserve">Kitsaskohtadele lahenduste leidmiseks soovib Statistikaamet alustada arutelusid </w:t>
      </w:r>
      <w:r w:rsidR="000F5074">
        <w:rPr>
          <w:rFonts w:ascii="Roboto" w:hAnsi="Roboto" w:cs="Arial"/>
          <w:lang w:val="et-EE"/>
        </w:rPr>
        <w:t xml:space="preserve">asjasse puutuvate ministeeriumite ja </w:t>
      </w:r>
      <w:r w:rsidRPr="00D60820">
        <w:rPr>
          <w:rFonts w:ascii="Roboto" w:hAnsi="Roboto" w:cs="Arial"/>
          <w:lang w:val="et-EE"/>
        </w:rPr>
        <w:t>kõikide erialaliitude esindajatega, tagamaks selge ja läbipaistev selgitus majandusaasta aruannete esitamise tähtaja muutmiseks</w:t>
      </w:r>
      <w:r w:rsidR="000F5074">
        <w:rPr>
          <w:rFonts w:ascii="Roboto" w:hAnsi="Roboto" w:cs="Arial"/>
          <w:lang w:val="et-EE"/>
        </w:rPr>
        <w:t>.</w:t>
      </w:r>
    </w:p>
    <w:p w:rsidR="000F5074" w:rsidRDefault="006A4FC3" w:rsidP="00CC0EB1">
      <w:pPr>
        <w:jc w:val="both"/>
        <w:rPr>
          <w:rFonts w:ascii="Roboto" w:hAnsi="Roboto" w:cs="Arial"/>
          <w:lang w:val="et-EE"/>
        </w:rPr>
      </w:pPr>
      <w:r>
        <w:rPr>
          <w:rFonts w:ascii="Roboto" w:hAnsi="Roboto" w:cs="Arial"/>
          <w:noProof/>
          <w:lang w:val="et-EE" w:eastAsia="et-EE"/>
        </w:rPr>
        <mc:AlternateContent>
          <mc:Choice Requires="wps">
            <w:drawing>
              <wp:anchor distT="0" distB="0" distL="114300" distR="114300" simplePos="0" relativeHeight="251658240" behindDoc="1" locked="0" layoutInCell="1" allowOverlap="1">
                <wp:simplePos x="0" y="0"/>
                <wp:positionH relativeFrom="column">
                  <wp:posOffset>-330835</wp:posOffset>
                </wp:positionH>
                <wp:positionV relativeFrom="paragraph">
                  <wp:posOffset>83185</wp:posOffset>
                </wp:positionV>
                <wp:extent cx="6432550" cy="18478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84785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0C5F" id="Rectangle 5" o:spid="_x0000_s1026" style="position:absolute;margin-left:-26.05pt;margin-top:6.55pt;width:506.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" fillcolor="yellow"/>
            </w:pict>
          </mc:Fallback>
        </mc:AlternateContent>
      </w:r>
    </w:p>
    <w:p w:rsidR="00413D8F" w:rsidRPr="0099437B" w:rsidRDefault="000F5074" w:rsidP="000F5074">
      <w:pPr>
        <w:numPr>
          <w:ilvl w:val="0"/>
          <w:numId w:val="13"/>
        </w:numPr>
        <w:ind w:left="357" w:hanging="357"/>
        <w:jc w:val="both"/>
        <w:rPr>
          <w:rFonts w:ascii="Roboto" w:hAnsi="Roboto" w:cs="Arial"/>
          <w:b/>
          <w:lang w:val="et-EE"/>
        </w:rPr>
      </w:pPr>
      <w:r w:rsidRPr="0099437B">
        <w:rPr>
          <w:rFonts w:ascii="Roboto" w:hAnsi="Roboto" w:cs="Arial"/>
          <w:b/>
          <w:lang w:val="et-EE"/>
        </w:rPr>
        <w:t xml:space="preserve">Ettepanekud arutelude lähtepunktiks </w:t>
      </w:r>
      <w:r w:rsidR="00413D8F" w:rsidRPr="0099437B">
        <w:rPr>
          <w:rFonts w:ascii="Roboto" w:hAnsi="Roboto" w:cs="Arial"/>
          <w:b/>
          <w:lang w:val="et-EE"/>
        </w:rPr>
        <w:t xml:space="preserve">majandusaasta aruande esitamise </w:t>
      </w:r>
      <w:r w:rsidRPr="0099437B">
        <w:rPr>
          <w:rFonts w:ascii="Roboto" w:hAnsi="Roboto" w:cs="Arial"/>
          <w:b/>
          <w:lang w:val="et-EE"/>
        </w:rPr>
        <w:t>tähtaja muutmiseks on järgmised:</w:t>
      </w:r>
    </w:p>
    <w:p w:rsidR="000F5074" w:rsidRPr="000F5074" w:rsidRDefault="000F5074" w:rsidP="000F5074">
      <w:pPr>
        <w:numPr>
          <w:ilvl w:val="0"/>
          <w:numId w:val="19"/>
        </w:numPr>
        <w:jc w:val="both"/>
        <w:rPr>
          <w:rFonts w:ascii="Roboto" w:hAnsi="Roboto" w:cs="Arial"/>
          <w:lang w:val="et-EE"/>
        </w:rPr>
      </w:pPr>
      <w:r w:rsidRPr="000F5074">
        <w:rPr>
          <w:rFonts w:ascii="Roboto" w:hAnsi="Roboto" w:cs="Arial"/>
          <w:lang w:val="et-EE"/>
        </w:rPr>
        <w:t>Eristada majandusaasta aruannete esitamise kohustust vastavalt ettevõtte õiguslikule vormile (avalik, eraõiguslik), ettevõtte suurusele ja sellest tulenevale auditeerimiskohustusele.</w:t>
      </w:r>
    </w:p>
    <w:p w:rsidR="000F5074" w:rsidRPr="000F5074" w:rsidRDefault="000F5074" w:rsidP="000F5074">
      <w:pPr>
        <w:numPr>
          <w:ilvl w:val="0"/>
          <w:numId w:val="19"/>
        </w:numPr>
        <w:jc w:val="both"/>
        <w:rPr>
          <w:rFonts w:ascii="Roboto" w:hAnsi="Roboto" w:cs="Arial"/>
          <w:lang w:val="et-EE"/>
        </w:rPr>
      </w:pPr>
      <w:r w:rsidRPr="000F5074">
        <w:rPr>
          <w:rFonts w:ascii="Roboto" w:hAnsi="Roboto" w:cs="Arial"/>
          <w:lang w:val="et-EE"/>
        </w:rPr>
        <w:t>Kohaliku omavalitsuse üksused, avalik-õiguslikud raamatupidamiskohuslased peavad esitama oma majandusaasta aruande hiljemalt 3 kuu jooksul pärast majandusaasta lõppu.</w:t>
      </w:r>
    </w:p>
    <w:p w:rsidR="000F5074" w:rsidRPr="000F5074" w:rsidRDefault="000F5074" w:rsidP="000F5074">
      <w:pPr>
        <w:numPr>
          <w:ilvl w:val="0"/>
          <w:numId w:val="19"/>
        </w:numPr>
        <w:jc w:val="both"/>
        <w:rPr>
          <w:rFonts w:ascii="Roboto" w:hAnsi="Roboto" w:cs="Arial"/>
          <w:lang w:val="et-EE"/>
        </w:rPr>
      </w:pPr>
      <w:r w:rsidRPr="000F5074">
        <w:rPr>
          <w:rFonts w:ascii="Roboto" w:hAnsi="Roboto" w:cs="Arial"/>
          <w:lang w:val="et-EE"/>
        </w:rPr>
        <w:t>Auditeerimiskohustusega raamatupidamiskohuslased peavad esitama majandusaasta aruande 4 kuu jooksul pärast majandusaasta lõppu.</w:t>
      </w:r>
    </w:p>
    <w:p w:rsidR="000F5074" w:rsidRPr="007611A4" w:rsidRDefault="000F5074" w:rsidP="000F5074">
      <w:pPr>
        <w:numPr>
          <w:ilvl w:val="0"/>
          <w:numId w:val="19"/>
        </w:numPr>
        <w:jc w:val="both"/>
        <w:rPr>
          <w:rFonts w:ascii="Roboto" w:hAnsi="Roboto" w:cs="Arial"/>
          <w:lang w:val="et-EE"/>
        </w:rPr>
      </w:pPr>
      <w:r w:rsidRPr="000F5074">
        <w:rPr>
          <w:rFonts w:ascii="Roboto" w:hAnsi="Roboto" w:cs="Arial"/>
          <w:lang w:val="et-EE"/>
        </w:rPr>
        <w:lastRenderedPageBreak/>
        <w:t xml:space="preserve">Ülevaatekohustusega ja auditeerimis- või ülevaatekohustuseta raamatupidamiskohuslased peavad esitama </w:t>
      </w:r>
      <w:r w:rsidR="00715D67">
        <w:rPr>
          <w:rFonts w:ascii="Roboto" w:hAnsi="Roboto" w:cs="Arial"/>
          <w:lang w:val="et-EE"/>
        </w:rPr>
        <w:t xml:space="preserve">hiljemalt </w:t>
      </w:r>
      <w:r w:rsidRPr="000F5074">
        <w:rPr>
          <w:rFonts w:ascii="Roboto" w:hAnsi="Roboto" w:cs="Arial"/>
          <w:lang w:val="et-EE"/>
        </w:rPr>
        <w:t>5 kuu jooksul pärast majandusaasta lõppu.</w:t>
      </w:r>
    </w:p>
    <w:p w:rsidR="00F138C7" w:rsidRDefault="00F138C7" w:rsidP="00E66D43">
      <w:pPr>
        <w:jc w:val="both"/>
        <w:rPr>
          <w:rFonts w:ascii="Roboto" w:hAnsi="Roboto" w:cs="Arial"/>
          <w:lang w:val="et-EE"/>
        </w:rPr>
      </w:pPr>
    </w:p>
    <w:p w:rsidR="00E66D43" w:rsidRDefault="00E66D43" w:rsidP="00E66D43">
      <w:pPr>
        <w:numPr>
          <w:ilvl w:val="0"/>
          <w:numId w:val="13"/>
        </w:numPr>
        <w:ind w:left="357" w:hanging="357"/>
        <w:jc w:val="both"/>
        <w:rPr>
          <w:rFonts w:ascii="Roboto" w:hAnsi="Roboto" w:cs="Arial"/>
          <w:lang w:val="et-EE"/>
        </w:rPr>
      </w:pPr>
      <w:r>
        <w:rPr>
          <w:rFonts w:ascii="Roboto" w:hAnsi="Roboto" w:cs="Arial"/>
          <w:lang w:val="et-EE"/>
        </w:rPr>
        <w:t>Ettepanekuid majandusaasta aruannete esitamise hajutamiseks ja lühendamiseks on tehtud ja arutatud ka varem, nt:</w:t>
      </w:r>
    </w:p>
    <w:p w:rsidR="00E66D43" w:rsidRDefault="00E66D43" w:rsidP="00E66D43">
      <w:pPr>
        <w:numPr>
          <w:ilvl w:val="1"/>
          <w:numId w:val="13"/>
        </w:numPr>
        <w:jc w:val="both"/>
        <w:rPr>
          <w:rFonts w:ascii="Roboto" w:hAnsi="Roboto" w:cs="Arial"/>
          <w:lang w:val="et-EE"/>
        </w:rPr>
      </w:pPr>
      <w:r w:rsidRPr="007611A4">
        <w:rPr>
          <w:rFonts w:ascii="Roboto" w:hAnsi="Roboto" w:cs="Arial"/>
          <w:lang w:val="et-EE"/>
        </w:rPr>
        <w:t xml:space="preserve">2005. aasta novembris saatis Justiitsministeerium kirja, kus paluti kommentaare ettepanekule majandusaasta aruannete esitamise hajutamiseks ja tähtaja lühendamiseks. Ettepaneku kohaselt esitataks </w:t>
      </w:r>
      <w:r w:rsidRPr="00E66D43">
        <w:rPr>
          <w:rFonts w:ascii="Roboto" w:hAnsi="Roboto" w:cs="Arial"/>
          <w:lang w:val="et-EE"/>
        </w:rPr>
        <w:t>auditeerimist mittevajavad aruanded hiljemalt 3 kuud pärast majandusaasta lõppu ja auditeerimist vajavad aruanded 5 kuud pärast majandusaasta lõppu.</w:t>
      </w:r>
      <w:r w:rsidRPr="007611A4">
        <w:rPr>
          <w:rFonts w:ascii="Roboto" w:hAnsi="Roboto" w:cs="Arial"/>
          <w:lang w:val="et-EE"/>
        </w:rPr>
        <w:t xml:space="preserve"> Praegu on kõigile ühine tähtaeg - hiljemalt 6 kuud pärast majandusaasta lõppu. Statistikaamet oma kirjas toetasime ettepanekut, sest “…/ Statistikaametile on äärmiselt vajalik majandusaasta aruannete esitamise tähtaja lühendamine ja nende elektrooniliselt töödeldaval kujul võimalikult kiire kätte saamine. See võimaldab oluliselt vähendada Statistikaameti kulutusi andmete kogumisele ja sisestamisele ning samal ajal vähendab äriühingute administratiivset koormust”.</w:t>
      </w:r>
    </w:p>
    <w:p w:rsidR="00E66D43" w:rsidRDefault="00E66D43" w:rsidP="00E66D43">
      <w:pPr>
        <w:numPr>
          <w:ilvl w:val="1"/>
          <w:numId w:val="13"/>
        </w:numPr>
        <w:jc w:val="both"/>
        <w:rPr>
          <w:rFonts w:ascii="Roboto" w:hAnsi="Roboto" w:cs="Arial"/>
          <w:lang w:val="et-EE"/>
        </w:rPr>
      </w:pPr>
      <w:r w:rsidRPr="007611A4">
        <w:rPr>
          <w:rFonts w:ascii="Roboto" w:hAnsi="Roboto" w:cs="Arial"/>
          <w:lang w:val="et-EE"/>
        </w:rPr>
        <w:t>2007. aastal toimus täiendav kirjavahetus Justiitsministeeriumi ja Statistikaameti vahel lähtudes EUROSTATI poolsest huvist majandusstatistika parandamiseks, kus Statistikaamet kordas ettepanekut: „auditeerimist mittevajavad aruanded hiljemalt 3 kuud pärast majandusaasta lõppu ja auditeerimist vajavad aruanded 5 kuud pärast majandusaasta lõppu.“ Lisaks pakuti, et „mittetulundusühingud peaksid esitama 4 kuu ja sihtasutused 5 kuu jooksul pärast majandusaasta lõppu.“</w:t>
      </w:r>
    </w:p>
    <w:p w:rsidR="00E66D43" w:rsidRDefault="00E66D43" w:rsidP="00E66D43">
      <w:pPr>
        <w:jc w:val="both"/>
        <w:rPr>
          <w:rFonts w:ascii="Roboto" w:hAnsi="Roboto" w:cs="Arial"/>
          <w:lang w:val="et-EE"/>
        </w:rPr>
      </w:pPr>
    </w:p>
    <w:p w:rsidR="000F5074" w:rsidRPr="0099437B" w:rsidRDefault="0099437B" w:rsidP="000F5074">
      <w:pPr>
        <w:numPr>
          <w:ilvl w:val="0"/>
          <w:numId w:val="13"/>
        </w:numPr>
        <w:ind w:left="357" w:hanging="357"/>
        <w:jc w:val="both"/>
        <w:rPr>
          <w:rFonts w:ascii="Roboto" w:hAnsi="Roboto" w:cs="Arial"/>
          <w:b/>
          <w:lang w:val="et-EE"/>
        </w:rPr>
      </w:pPr>
      <w:r w:rsidRPr="0099437B">
        <w:rPr>
          <w:rFonts w:ascii="Roboto" w:hAnsi="Roboto" w:cs="Arial"/>
          <w:b/>
          <w:lang w:val="et-EE"/>
        </w:rPr>
        <w:lastRenderedPageBreak/>
        <w:t>Ettepanek m</w:t>
      </w:r>
      <w:r w:rsidR="000F5074" w:rsidRPr="0099437B">
        <w:rPr>
          <w:rFonts w:ascii="Roboto" w:hAnsi="Roboto" w:cs="Arial"/>
          <w:b/>
          <w:lang w:val="et-EE"/>
        </w:rPr>
        <w:t>ajandusaasta aruannete esitamise distsipliini parandamiseks on järgmine:</w:t>
      </w:r>
    </w:p>
    <w:p w:rsidR="00F138C7" w:rsidRPr="007611A4" w:rsidRDefault="000F5074" w:rsidP="000F5074">
      <w:pPr>
        <w:numPr>
          <w:ilvl w:val="0"/>
          <w:numId w:val="21"/>
        </w:numPr>
        <w:jc w:val="both"/>
        <w:rPr>
          <w:rFonts w:ascii="Roboto" w:hAnsi="Roboto" w:cs="Arial"/>
          <w:lang w:val="et-EE"/>
        </w:rPr>
      </w:pPr>
      <w:r w:rsidRPr="000F5074">
        <w:rPr>
          <w:rFonts w:ascii="Roboto" w:hAnsi="Roboto" w:cs="Arial"/>
          <w:lang w:val="et-EE"/>
        </w:rPr>
        <w:t>Viia sisse senisest rangem majandusaasta aastaaruande esitamise jälgimine, koos kaasnevate trahvidega pärast 2 kuulist hilinemist.</w:t>
      </w:r>
    </w:p>
    <w:p w:rsidR="0099437B" w:rsidRDefault="0099437B" w:rsidP="008F3752">
      <w:pPr>
        <w:jc w:val="both"/>
        <w:rPr>
          <w:rFonts w:ascii="Roboto" w:hAnsi="Roboto" w:cs="Arial"/>
          <w:lang w:val="et-EE"/>
        </w:rPr>
      </w:pPr>
    </w:p>
    <w:p w:rsidR="005A2387" w:rsidRDefault="005A2387" w:rsidP="0099437B">
      <w:pPr>
        <w:numPr>
          <w:ilvl w:val="0"/>
          <w:numId w:val="13"/>
        </w:numPr>
        <w:ind w:left="357" w:hanging="357"/>
        <w:jc w:val="both"/>
        <w:rPr>
          <w:rFonts w:ascii="Roboto" w:hAnsi="Roboto" w:cs="Arial"/>
          <w:lang w:val="et-EE"/>
        </w:rPr>
      </w:pPr>
      <w:r>
        <w:rPr>
          <w:rFonts w:ascii="Roboto" w:hAnsi="Roboto" w:cs="Arial"/>
          <w:lang w:val="et-EE"/>
        </w:rPr>
        <w:t>Ka majandusaasta aruannete esitamise distsipliini parandamise te</w:t>
      </w:r>
      <w:r w:rsidR="009A145A">
        <w:rPr>
          <w:rFonts w:ascii="Roboto" w:hAnsi="Roboto" w:cs="Arial"/>
          <w:lang w:val="et-EE"/>
        </w:rPr>
        <w:t xml:space="preserve">emadel on toimunud arutelusid </w:t>
      </w:r>
      <w:r>
        <w:rPr>
          <w:rFonts w:ascii="Roboto" w:hAnsi="Roboto" w:cs="Arial"/>
          <w:lang w:val="et-EE"/>
        </w:rPr>
        <w:t>varem, nt.</w:t>
      </w:r>
    </w:p>
    <w:p w:rsidR="008F3752" w:rsidRPr="007611A4" w:rsidRDefault="008F3752" w:rsidP="005A2387">
      <w:pPr>
        <w:numPr>
          <w:ilvl w:val="1"/>
          <w:numId w:val="13"/>
        </w:numPr>
        <w:jc w:val="both"/>
        <w:rPr>
          <w:rFonts w:ascii="Roboto" w:hAnsi="Roboto" w:cs="Arial"/>
          <w:lang w:val="et-EE"/>
        </w:rPr>
      </w:pPr>
      <w:r w:rsidRPr="007611A4">
        <w:rPr>
          <w:rFonts w:ascii="Roboto" w:hAnsi="Roboto" w:cs="Arial"/>
          <w:lang w:val="et-EE"/>
        </w:rPr>
        <w:t>2012 aasta jaanuaris toimus majandusaastaaruannete arutelu osas viimane suurem ümarlaud. Kuigi ümarlaual osalejad ei saavutanud täielikku üksmeelt majandusaasta aruande esitamise aja osas (puudus ka otsene vastasseis), siis memo järeldusse fikseeriti: „Parandada tuleks ka aruande esitamise distsipliini. See on suur probleem ettevõtluskeskkonnas, esitamata jätmist kasutatakse ebaausa ettevõtluse tagajärgede likvideerimiseks, mida ei paranda ka asjaolu, et registripidaja ettevõtjaid trahvib, kuna tihti pole neilt enam midagi võtta. Kindlasti peab ka registriosakonna järelevalve olema tõhusam. Selle teema raames tahaks koostööd ja diskussiooni jätkata ettevõtlusorganisatsioonidega.“</w:t>
      </w:r>
    </w:p>
    <w:p w:rsidR="008F3752" w:rsidRPr="007611A4" w:rsidRDefault="008F3752" w:rsidP="008F3752">
      <w:pPr>
        <w:jc w:val="both"/>
        <w:rPr>
          <w:rFonts w:ascii="Roboto" w:hAnsi="Roboto" w:cs="Arial"/>
          <w:lang w:val="et-EE"/>
        </w:rPr>
      </w:pPr>
    </w:p>
    <w:sectPr w:rsidR="008F3752" w:rsidRPr="007611A4" w:rsidSect="00B96036">
      <w:footerReference w:type="default" r:id="rId11"/>
      <w:headerReference w:type="first" r:id="rId12"/>
      <w:pgSz w:w="11907" w:h="16840" w:code="9"/>
      <w:pgMar w:top="1134" w:right="851" w:bottom="1134" w:left="1701" w:header="3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AE" w:rsidRDefault="00F152AE">
      <w:r>
        <w:separator/>
      </w:r>
    </w:p>
  </w:endnote>
  <w:endnote w:type="continuationSeparator" w:id="0">
    <w:p w:rsidR="00F152AE" w:rsidRDefault="00F1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serif"/>
    <w:panose1 w:val="02020603050405020304"/>
    <w:charset w:val="BA"/>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Roboto">
    <w:altName w:val="Roboto"/>
    <w:panose1 w:val="02000000000000000000"/>
    <w:charset w:val="BA"/>
    <w:family w:val="auto"/>
    <w:pitch w:val="variable"/>
    <w:sig w:usb0="E00002E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7B" w:rsidRDefault="00C1487B">
    <w:pPr>
      <w:pStyle w:val="Footer"/>
      <w:jc w:val="center"/>
    </w:pPr>
    <w:r>
      <w:fldChar w:fldCharType="begin"/>
    </w:r>
    <w:r>
      <w:instrText>PAGE   \* MERGEFORMAT</w:instrText>
    </w:r>
    <w:r>
      <w:fldChar w:fldCharType="separate"/>
    </w:r>
    <w:r w:rsidR="006A4FC3" w:rsidRPr="006A4FC3">
      <w:rPr>
        <w:noProof/>
        <w:lang w:val="et-EE"/>
      </w:rPr>
      <w:t>7</w:t>
    </w:r>
    <w:r>
      <w:fldChar w:fldCharType="end"/>
    </w:r>
  </w:p>
  <w:p w:rsidR="00C1487B" w:rsidRDefault="00C14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AE" w:rsidRDefault="00F152AE">
      <w:r>
        <w:separator/>
      </w:r>
    </w:p>
  </w:footnote>
  <w:footnote w:type="continuationSeparator" w:id="0">
    <w:p w:rsidR="00F152AE" w:rsidRDefault="00F152AE">
      <w:r>
        <w:continuationSeparator/>
      </w:r>
    </w:p>
  </w:footnote>
  <w:footnote w:id="1">
    <w:p w:rsidR="00000000" w:rsidRDefault="008F3752" w:rsidP="008F3752">
      <w:pPr>
        <w:pStyle w:val="FootnoteText"/>
      </w:pPr>
      <w:r w:rsidRPr="00F70B65">
        <w:rPr>
          <w:rStyle w:val="FootnoteReference"/>
          <w:sz w:val="18"/>
          <w:szCs w:val="18"/>
        </w:rPr>
        <w:footnoteRef/>
      </w:r>
      <w:r w:rsidRPr="00F70B65">
        <w:rPr>
          <w:sz w:val="18"/>
          <w:szCs w:val="18"/>
        </w:rPr>
        <w:t xml:space="preserve"> </w:t>
      </w:r>
      <w:hyperlink r:id="rId1" w:history="1">
        <w:r w:rsidR="0087616B" w:rsidRPr="0087616B">
          <w:rPr>
            <w:rStyle w:val="Hyperlink"/>
            <w:sz w:val="18"/>
            <w:szCs w:val="18"/>
            <w:lang w:val="en-US"/>
          </w:rPr>
          <w:t>https://eur-lex.europa.eu/legal-content/EN/TXT/?qid=1596040518229&amp;uri=CELEX:32009R0223</w:t>
        </w:r>
      </w:hyperlink>
      <w:r>
        <w:rPr>
          <w:sz w:val="18"/>
          <w:szCs w:val="18"/>
        </w:rPr>
        <w:t xml:space="preserve"> </w:t>
      </w:r>
    </w:p>
  </w:footnote>
  <w:footnote w:id="2">
    <w:p w:rsidR="00000000" w:rsidRDefault="008F3752" w:rsidP="008F3752">
      <w:pPr>
        <w:pStyle w:val="FootnoteText"/>
      </w:pPr>
      <w:r w:rsidRPr="00F70B65">
        <w:rPr>
          <w:rStyle w:val="FootnoteReference"/>
          <w:sz w:val="18"/>
          <w:szCs w:val="18"/>
        </w:rPr>
        <w:footnoteRef/>
      </w:r>
      <w:r w:rsidRPr="00F70B65">
        <w:rPr>
          <w:sz w:val="18"/>
          <w:szCs w:val="18"/>
        </w:rPr>
        <w:t xml:space="preserve"> </w:t>
      </w:r>
      <w:hyperlink r:id="rId2" w:history="1">
        <w:r w:rsidR="0087616B" w:rsidRPr="0087616B">
          <w:rPr>
            <w:rStyle w:val="Hyperlink"/>
            <w:sz w:val="18"/>
            <w:szCs w:val="18"/>
            <w:lang w:val="en-US"/>
          </w:rPr>
          <w:t>https://eur-lex.europa.eu/legal-content/EN/ALL/?uri=CELEX:32008R0295</w:t>
        </w:r>
      </w:hyperlink>
      <w:r>
        <w:rPr>
          <w:sz w:val="18"/>
          <w:szCs w:val="18"/>
        </w:rPr>
        <w:t xml:space="preserve"> </w:t>
      </w:r>
    </w:p>
  </w:footnote>
  <w:footnote w:id="3">
    <w:p w:rsidR="00000000" w:rsidRDefault="00C61C46">
      <w:pPr>
        <w:pStyle w:val="FootnoteText"/>
      </w:pPr>
      <w:r>
        <w:rPr>
          <w:rStyle w:val="FootnoteReference"/>
        </w:rPr>
        <w:footnoteRef/>
      </w:r>
      <w:r>
        <w:t xml:space="preserve"> </w:t>
      </w:r>
      <w:hyperlink r:id="rId3" w:history="1">
        <w:r w:rsidRPr="00C61C46">
          <w:rPr>
            <w:rStyle w:val="Hyperlink"/>
            <w:sz w:val="18"/>
            <w:szCs w:val="18"/>
            <w:lang w:val="en-US"/>
          </w:rPr>
          <w:t>https://eur-lex.europa.eu/eli/reg/2019/2152/oj</w:t>
        </w:r>
      </w:hyperlink>
    </w:p>
  </w:footnote>
  <w:footnote w:id="4">
    <w:p w:rsidR="00000000" w:rsidRDefault="008F3752" w:rsidP="008F3752">
      <w:pPr>
        <w:pStyle w:val="FootnoteText"/>
      </w:pPr>
      <w:r>
        <w:rPr>
          <w:rStyle w:val="FootnoteReference"/>
        </w:rPr>
        <w:footnoteRef/>
      </w:r>
      <w:r w:rsidR="00C61C46">
        <w:t xml:space="preserve"> </w:t>
      </w:r>
      <w:hyperlink r:id="rId4" w:history="1">
        <w:r w:rsidRPr="009938F1">
          <w:rPr>
            <w:rStyle w:val="Hyperlink"/>
            <w:sz w:val="18"/>
            <w:szCs w:val="18"/>
          </w:rPr>
          <w:t>https://eur-lex.europa.eu/legal-content/ET/TXT/?qid=1596040826201&amp;uri=CELEX:32004R0138</w:t>
        </w:r>
      </w:hyperlink>
      <w:r>
        <w:rPr>
          <w:sz w:val="18"/>
          <w:szCs w:val="18"/>
        </w:rPr>
        <w:t xml:space="preserve"> </w:t>
      </w:r>
    </w:p>
  </w:footnote>
  <w:footnote w:id="5">
    <w:p w:rsidR="00000000" w:rsidRDefault="00B53666" w:rsidP="00B53666">
      <w:pPr>
        <w:pStyle w:val="FootnoteText"/>
      </w:pPr>
      <w:r w:rsidRPr="00BF0E39">
        <w:rPr>
          <w:rStyle w:val="FootnoteReference"/>
          <w:sz w:val="18"/>
          <w:szCs w:val="18"/>
        </w:rPr>
        <w:footnoteRef/>
      </w:r>
      <w:r w:rsidRPr="00BF0E39">
        <w:rPr>
          <w:sz w:val="18"/>
          <w:szCs w:val="18"/>
        </w:rPr>
        <w:t xml:space="preserve"> Äriseadustik, RT I, 10.07.2020, 34, </w:t>
      </w:r>
      <w:hyperlink r:id="rId5" w:history="1">
        <w:r w:rsidRPr="009938F1">
          <w:rPr>
            <w:rStyle w:val="Hyperlink"/>
            <w:sz w:val="18"/>
            <w:szCs w:val="18"/>
          </w:rPr>
          <w:t>https://www.riigiteataja.ee/akt/110072020034?leiaKehtiv</w:t>
        </w:r>
      </w:hyperlink>
      <w:r>
        <w:rPr>
          <w:sz w:val="18"/>
          <w:szCs w:val="18"/>
        </w:rPr>
        <w:t xml:space="preserve"> </w:t>
      </w:r>
    </w:p>
  </w:footnote>
  <w:footnote w:id="6">
    <w:p w:rsidR="00000000" w:rsidRDefault="00B53666" w:rsidP="00B53666">
      <w:pPr>
        <w:pStyle w:val="FootnoteText"/>
      </w:pPr>
      <w:r w:rsidRPr="00BF0E39">
        <w:rPr>
          <w:rStyle w:val="FootnoteReference"/>
          <w:sz w:val="18"/>
          <w:szCs w:val="18"/>
        </w:rPr>
        <w:footnoteRef/>
      </w:r>
      <w:r w:rsidRPr="00BF0E39">
        <w:rPr>
          <w:sz w:val="18"/>
          <w:szCs w:val="18"/>
        </w:rPr>
        <w:t xml:space="preserve"> Väärtpaberituru seadus, RT I, 04.12.2019, 4. </w:t>
      </w:r>
      <w:hyperlink r:id="rId6" w:history="1">
        <w:r w:rsidRPr="009938F1">
          <w:rPr>
            <w:rStyle w:val="Hyperlink"/>
            <w:sz w:val="18"/>
            <w:szCs w:val="18"/>
          </w:rPr>
          <w:t>https://www.riigiteataja.ee/akt/104122019004?leiaKehtiv</w:t>
        </w:r>
      </w:hyperlink>
      <w:r>
        <w:rPr>
          <w:sz w:val="18"/>
          <w:szCs w:val="18"/>
        </w:rPr>
        <w:t xml:space="preserve"> </w:t>
      </w:r>
    </w:p>
  </w:footnote>
  <w:footnote w:id="7">
    <w:p w:rsidR="00000000" w:rsidRDefault="00B53666" w:rsidP="00B53666">
      <w:pPr>
        <w:pStyle w:val="FootnoteText"/>
      </w:pPr>
      <w:r>
        <w:rPr>
          <w:rStyle w:val="FootnoteReference"/>
        </w:rPr>
        <w:footnoteRef/>
      </w:r>
      <w:r>
        <w:t xml:space="preserve"> </w:t>
      </w:r>
      <w:r w:rsidRPr="00BF0E39">
        <w:rPr>
          <w:sz w:val="18"/>
          <w:szCs w:val="18"/>
        </w:rPr>
        <w:t xml:space="preserve">Krediidiasutuste seadus, RT I, 10.07.2020, 20, </w:t>
      </w:r>
      <w:hyperlink r:id="rId7" w:history="1">
        <w:r w:rsidRPr="009938F1">
          <w:rPr>
            <w:rStyle w:val="Hyperlink"/>
            <w:sz w:val="18"/>
            <w:szCs w:val="18"/>
          </w:rPr>
          <w:t>https://www.riigiteataja.ee/akt/110072020020?leiaKehtiv</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20" w:rsidRDefault="006A4FC3" w:rsidP="00854620">
    <w:pPr>
      <w:pStyle w:val="Header"/>
      <w:ind w:left="-1560"/>
    </w:pPr>
    <w:r>
      <w:rPr>
        <w:noProof/>
        <w:lang w:val="et-EE" w:eastAsia="et-EE"/>
      </w:rPr>
      <w:drawing>
        <wp:anchor distT="114300" distB="114300" distL="114300" distR="114300" simplePos="0" relativeHeight="251660288" behindDoc="0" locked="0" layoutInCell="1" allowOverlap="1">
          <wp:simplePos x="0" y="0"/>
          <wp:positionH relativeFrom="column">
            <wp:posOffset>95885</wp:posOffset>
          </wp:positionH>
          <wp:positionV relativeFrom="paragraph">
            <wp:posOffset>114300</wp:posOffset>
          </wp:positionV>
          <wp:extent cx="7368540" cy="1310005"/>
          <wp:effectExtent l="0" t="0" r="3810" b="4445"/>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54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222"/>
    <w:multiLevelType w:val="hybridMultilevel"/>
    <w:tmpl w:val="C39CAAE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11AB08A9"/>
    <w:multiLevelType w:val="hybridMultilevel"/>
    <w:tmpl w:val="C360B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07C6491"/>
    <w:multiLevelType w:val="hybridMultilevel"/>
    <w:tmpl w:val="A4B67570"/>
    <w:lvl w:ilvl="0" w:tplc="0425000F">
      <w:start w:val="1"/>
      <w:numFmt w:val="decimal"/>
      <w:lvlText w:val="%1."/>
      <w:lvlJc w:val="left"/>
      <w:pPr>
        <w:tabs>
          <w:tab w:val="num" w:pos="1004"/>
        </w:tabs>
        <w:ind w:left="1004" w:hanging="360"/>
      </w:pPr>
      <w:rPr>
        <w:rFonts w:cs="Times New Roman"/>
      </w:rPr>
    </w:lvl>
    <w:lvl w:ilvl="1" w:tplc="04250019" w:tentative="1">
      <w:start w:val="1"/>
      <w:numFmt w:val="lowerLetter"/>
      <w:lvlText w:val="%2."/>
      <w:lvlJc w:val="left"/>
      <w:pPr>
        <w:tabs>
          <w:tab w:val="num" w:pos="1724"/>
        </w:tabs>
        <w:ind w:left="1724" w:hanging="360"/>
      </w:pPr>
      <w:rPr>
        <w:rFonts w:cs="Times New Roman"/>
      </w:rPr>
    </w:lvl>
    <w:lvl w:ilvl="2" w:tplc="0425001B" w:tentative="1">
      <w:start w:val="1"/>
      <w:numFmt w:val="lowerRoman"/>
      <w:lvlText w:val="%3."/>
      <w:lvlJc w:val="right"/>
      <w:pPr>
        <w:tabs>
          <w:tab w:val="num" w:pos="2444"/>
        </w:tabs>
        <w:ind w:left="2444" w:hanging="180"/>
      </w:pPr>
      <w:rPr>
        <w:rFonts w:cs="Times New Roman"/>
      </w:rPr>
    </w:lvl>
    <w:lvl w:ilvl="3" w:tplc="0425000F" w:tentative="1">
      <w:start w:val="1"/>
      <w:numFmt w:val="decimal"/>
      <w:lvlText w:val="%4."/>
      <w:lvlJc w:val="left"/>
      <w:pPr>
        <w:tabs>
          <w:tab w:val="num" w:pos="3164"/>
        </w:tabs>
        <w:ind w:left="3164" w:hanging="360"/>
      </w:pPr>
      <w:rPr>
        <w:rFonts w:cs="Times New Roman"/>
      </w:rPr>
    </w:lvl>
    <w:lvl w:ilvl="4" w:tplc="04250019" w:tentative="1">
      <w:start w:val="1"/>
      <w:numFmt w:val="lowerLetter"/>
      <w:lvlText w:val="%5."/>
      <w:lvlJc w:val="left"/>
      <w:pPr>
        <w:tabs>
          <w:tab w:val="num" w:pos="3884"/>
        </w:tabs>
        <w:ind w:left="3884" w:hanging="360"/>
      </w:pPr>
      <w:rPr>
        <w:rFonts w:cs="Times New Roman"/>
      </w:rPr>
    </w:lvl>
    <w:lvl w:ilvl="5" w:tplc="0425001B" w:tentative="1">
      <w:start w:val="1"/>
      <w:numFmt w:val="lowerRoman"/>
      <w:lvlText w:val="%6."/>
      <w:lvlJc w:val="right"/>
      <w:pPr>
        <w:tabs>
          <w:tab w:val="num" w:pos="4604"/>
        </w:tabs>
        <w:ind w:left="4604" w:hanging="180"/>
      </w:pPr>
      <w:rPr>
        <w:rFonts w:cs="Times New Roman"/>
      </w:rPr>
    </w:lvl>
    <w:lvl w:ilvl="6" w:tplc="0425000F" w:tentative="1">
      <w:start w:val="1"/>
      <w:numFmt w:val="decimal"/>
      <w:lvlText w:val="%7."/>
      <w:lvlJc w:val="left"/>
      <w:pPr>
        <w:tabs>
          <w:tab w:val="num" w:pos="5324"/>
        </w:tabs>
        <w:ind w:left="5324" w:hanging="360"/>
      </w:pPr>
      <w:rPr>
        <w:rFonts w:cs="Times New Roman"/>
      </w:rPr>
    </w:lvl>
    <w:lvl w:ilvl="7" w:tplc="04250019" w:tentative="1">
      <w:start w:val="1"/>
      <w:numFmt w:val="lowerLetter"/>
      <w:lvlText w:val="%8."/>
      <w:lvlJc w:val="left"/>
      <w:pPr>
        <w:tabs>
          <w:tab w:val="num" w:pos="6044"/>
        </w:tabs>
        <w:ind w:left="6044" w:hanging="360"/>
      </w:pPr>
      <w:rPr>
        <w:rFonts w:cs="Times New Roman"/>
      </w:rPr>
    </w:lvl>
    <w:lvl w:ilvl="8" w:tplc="0425001B" w:tentative="1">
      <w:start w:val="1"/>
      <w:numFmt w:val="lowerRoman"/>
      <w:lvlText w:val="%9."/>
      <w:lvlJc w:val="right"/>
      <w:pPr>
        <w:tabs>
          <w:tab w:val="num" w:pos="6764"/>
        </w:tabs>
        <w:ind w:left="6764" w:hanging="180"/>
      </w:pPr>
      <w:rPr>
        <w:rFonts w:cs="Times New Roman"/>
      </w:rPr>
    </w:lvl>
  </w:abstractNum>
  <w:abstractNum w:abstractNumId="3" w15:restartNumberingAfterBreak="0">
    <w:nsid w:val="24A50EF1"/>
    <w:multiLevelType w:val="hybridMultilevel"/>
    <w:tmpl w:val="D08ABA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9892E3F"/>
    <w:multiLevelType w:val="hybridMultilevel"/>
    <w:tmpl w:val="9E68753E"/>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31A679EE"/>
    <w:multiLevelType w:val="hybridMultilevel"/>
    <w:tmpl w:val="4CB63FA2"/>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32553115"/>
    <w:multiLevelType w:val="hybridMultilevel"/>
    <w:tmpl w:val="FF0AB3AE"/>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3734730C"/>
    <w:multiLevelType w:val="hybridMultilevel"/>
    <w:tmpl w:val="A388143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383E6FEB"/>
    <w:multiLevelType w:val="hybridMultilevel"/>
    <w:tmpl w:val="D61A1AF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3E3A750E"/>
    <w:multiLevelType w:val="hybridMultilevel"/>
    <w:tmpl w:val="91CCE068"/>
    <w:lvl w:ilvl="0" w:tplc="4B10294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49AB7A01"/>
    <w:multiLevelType w:val="multilevel"/>
    <w:tmpl w:val="A6DCC88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C563597"/>
    <w:multiLevelType w:val="hybridMultilevel"/>
    <w:tmpl w:val="1EBA095C"/>
    <w:lvl w:ilvl="0" w:tplc="3C3883FE">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1336260"/>
    <w:multiLevelType w:val="hybridMultilevel"/>
    <w:tmpl w:val="E0666560"/>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36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518E7237"/>
    <w:multiLevelType w:val="hybridMultilevel"/>
    <w:tmpl w:val="F546161E"/>
    <w:lvl w:ilvl="0" w:tplc="9DC047A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384058"/>
    <w:multiLevelType w:val="multilevel"/>
    <w:tmpl w:val="7B14151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5043941"/>
    <w:multiLevelType w:val="hybridMultilevel"/>
    <w:tmpl w:val="B3C28A0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626A3A53"/>
    <w:multiLevelType w:val="hybridMultilevel"/>
    <w:tmpl w:val="8BDC1A2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68E1406E"/>
    <w:multiLevelType w:val="hybridMultilevel"/>
    <w:tmpl w:val="0F58EAE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15:restartNumberingAfterBreak="0">
    <w:nsid w:val="6A6D1F96"/>
    <w:multiLevelType w:val="hybridMultilevel"/>
    <w:tmpl w:val="D55A8C1C"/>
    <w:lvl w:ilvl="0" w:tplc="7F902D44">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6E1F6B14"/>
    <w:multiLevelType w:val="hybridMultilevel"/>
    <w:tmpl w:val="8B8635CC"/>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15:restartNumberingAfterBreak="0">
    <w:nsid w:val="72334FA1"/>
    <w:multiLevelType w:val="hybridMultilevel"/>
    <w:tmpl w:val="3704EEE8"/>
    <w:lvl w:ilvl="0" w:tplc="F6B64548">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5244149"/>
    <w:multiLevelType w:val="multilevel"/>
    <w:tmpl w:val="B1CECEA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5D760D"/>
    <w:multiLevelType w:val="hybridMultilevel"/>
    <w:tmpl w:val="293410D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9"/>
  </w:num>
  <w:num w:numId="4">
    <w:abstractNumId w:val="20"/>
  </w:num>
  <w:num w:numId="5">
    <w:abstractNumId w:val="18"/>
  </w:num>
  <w:num w:numId="6">
    <w:abstractNumId w:val="13"/>
  </w:num>
  <w:num w:numId="7">
    <w:abstractNumId w:val="21"/>
  </w:num>
  <w:num w:numId="8">
    <w:abstractNumId w:val="10"/>
  </w:num>
  <w:num w:numId="9">
    <w:abstractNumId w:val="14"/>
  </w:num>
  <w:num w:numId="10">
    <w:abstractNumId w:val="5"/>
  </w:num>
  <w:num w:numId="11">
    <w:abstractNumId w:val="19"/>
  </w:num>
  <w:num w:numId="12">
    <w:abstractNumId w:val="6"/>
  </w:num>
  <w:num w:numId="13">
    <w:abstractNumId w:val="4"/>
  </w:num>
  <w:num w:numId="14">
    <w:abstractNumId w:val="12"/>
  </w:num>
  <w:num w:numId="15">
    <w:abstractNumId w:val="15"/>
  </w:num>
  <w:num w:numId="16">
    <w:abstractNumId w:val="0"/>
  </w:num>
  <w:num w:numId="17">
    <w:abstractNumId w:val="8"/>
  </w:num>
  <w:num w:numId="18">
    <w:abstractNumId w:val="7"/>
  </w:num>
  <w:num w:numId="19">
    <w:abstractNumId w:val="3"/>
  </w:num>
  <w:num w:numId="20">
    <w:abstractNumId w:val="22"/>
  </w:num>
  <w:num w:numId="21">
    <w:abstractNumId w:val="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Text10" w:val="Empty"/>
    <w:docVar w:name="Text11" w:val="Empty"/>
    <w:docVar w:name="Text12" w:val="Empty"/>
    <w:docVar w:name="Text2" w:val="Empty"/>
    <w:docVar w:name="Text3" w:val="Empty"/>
    <w:docVar w:name="Text4" w:val="Empty"/>
    <w:docVar w:name="Text5" w:val="Empty"/>
    <w:docVar w:name="Text6" w:val="Empty"/>
    <w:docVar w:name="Text7" w:val="Empty"/>
    <w:docVar w:name="Text8" w:val="Empty"/>
  </w:docVars>
  <w:rsids>
    <w:rsidRoot w:val="000A42AE"/>
    <w:rsid w:val="00004672"/>
    <w:rsid w:val="0002775A"/>
    <w:rsid w:val="000636BF"/>
    <w:rsid w:val="00080042"/>
    <w:rsid w:val="0008681D"/>
    <w:rsid w:val="00091704"/>
    <w:rsid w:val="000A1EC0"/>
    <w:rsid w:val="000A42AE"/>
    <w:rsid w:val="000C0192"/>
    <w:rsid w:val="000C57C8"/>
    <w:rsid w:val="000E0FA8"/>
    <w:rsid w:val="000F112E"/>
    <w:rsid w:val="000F5074"/>
    <w:rsid w:val="001037EC"/>
    <w:rsid w:val="00104434"/>
    <w:rsid w:val="00152A47"/>
    <w:rsid w:val="00180262"/>
    <w:rsid w:val="001846FB"/>
    <w:rsid w:val="001955F2"/>
    <w:rsid w:val="001B05EF"/>
    <w:rsid w:val="001B597D"/>
    <w:rsid w:val="001C5B54"/>
    <w:rsid w:val="001C6552"/>
    <w:rsid w:val="002813FC"/>
    <w:rsid w:val="002B45C6"/>
    <w:rsid w:val="002C57E4"/>
    <w:rsid w:val="002E5D95"/>
    <w:rsid w:val="00306FB1"/>
    <w:rsid w:val="003465C4"/>
    <w:rsid w:val="00347F2E"/>
    <w:rsid w:val="00362B37"/>
    <w:rsid w:val="003A55DC"/>
    <w:rsid w:val="003C4320"/>
    <w:rsid w:val="003D6AEF"/>
    <w:rsid w:val="003F07CE"/>
    <w:rsid w:val="00404D23"/>
    <w:rsid w:val="0040762C"/>
    <w:rsid w:val="00413D8F"/>
    <w:rsid w:val="00416D4E"/>
    <w:rsid w:val="00435722"/>
    <w:rsid w:val="0045470F"/>
    <w:rsid w:val="00455BF3"/>
    <w:rsid w:val="00457865"/>
    <w:rsid w:val="004B4888"/>
    <w:rsid w:val="004D5FF2"/>
    <w:rsid w:val="004F70B1"/>
    <w:rsid w:val="00507529"/>
    <w:rsid w:val="005565AD"/>
    <w:rsid w:val="0055715C"/>
    <w:rsid w:val="00573A1C"/>
    <w:rsid w:val="005A2387"/>
    <w:rsid w:val="005C416E"/>
    <w:rsid w:val="005E023E"/>
    <w:rsid w:val="006319F0"/>
    <w:rsid w:val="00662493"/>
    <w:rsid w:val="00672067"/>
    <w:rsid w:val="00675230"/>
    <w:rsid w:val="00683417"/>
    <w:rsid w:val="006A4FC3"/>
    <w:rsid w:val="006C24B8"/>
    <w:rsid w:val="006E5AD7"/>
    <w:rsid w:val="00700BCC"/>
    <w:rsid w:val="00703B26"/>
    <w:rsid w:val="00715D67"/>
    <w:rsid w:val="00744812"/>
    <w:rsid w:val="0076054B"/>
    <w:rsid w:val="007611A4"/>
    <w:rsid w:val="00793C23"/>
    <w:rsid w:val="00795090"/>
    <w:rsid w:val="007D2C47"/>
    <w:rsid w:val="007E031D"/>
    <w:rsid w:val="008127FC"/>
    <w:rsid w:val="00833BAA"/>
    <w:rsid w:val="00854620"/>
    <w:rsid w:val="0085793B"/>
    <w:rsid w:val="0087616B"/>
    <w:rsid w:val="00883270"/>
    <w:rsid w:val="00885237"/>
    <w:rsid w:val="008D33A3"/>
    <w:rsid w:val="008D6625"/>
    <w:rsid w:val="008E5AFC"/>
    <w:rsid w:val="008F3752"/>
    <w:rsid w:val="00906D8D"/>
    <w:rsid w:val="009223A7"/>
    <w:rsid w:val="009349C2"/>
    <w:rsid w:val="00936918"/>
    <w:rsid w:val="00957A9F"/>
    <w:rsid w:val="00967365"/>
    <w:rsid w:val="00971254"/>
    <w:rsid w:val="009715A3"/>
    <w:rsid w:val="00973EB0"/>
    <w:rsid w:val="00977AEE"/>
    <w:rsid w:val="009938F1"/>
    <w:rsid w:val="0099437B"/>
    <w:rsid w:val="009A145A"/>
    <w:rsid w:val="009B3F98"/>
    <w:rsid w:val="009E13C9"/>
    <w:rsid w:val="009F3D89"/>
    <w:rsid w:val="00A73862"/>
    <w:rsid w:val="00A767F3"/>
    <w:rsid w:val="00A84451"/>
    <w:rsid w:val="00AD5A19"/>
    <w:rsid w:val="00AF77E1"/>
    <w:rsid w:val="00B53666"/>
    <w:rsid w:val="00B6501D"/>
    <w:rsid w:val="00B96036"/>
    <w:rsid w:val="00BA1229"/>
    <w:rsid w:val="00BE1B69"/>
    <w:rsid w:val="00BF0E39"/>
    <w:rsid w:val="00C1487B"/>
    <w:rsid w:val="00C204A6"/>
    <w:rsid w:val="00C3459E"/>
    <w:rsid w:val="00C56482"/>
    <w:rsid w:val="00C61C46"/>
    <w:rsid w:val="00CB218E"/>
    <w:rsid w:val="00CB3D23"/>
    <w:rsid w:val="00CC0EB1"/>
    <w:rsid w:val="00CC5C5C"/>
    <w:rsid w:val="00CE7E6E"/>
    <w:rsid w:val="00CF36F8"/>
    <w:rsid w:val="00D04273"/>
    <w:rsid w:val="00D40813"/>
    <w:rsid w:val="00D53C09"/>
    <w:rsid w:val="00D554CB"/>
    <w:rsid w:val="00D60820"/>
    <w:rsid w:val="00D64695"/>
    <w:rsid w:val="00D67EDA"/>
    <w:rsid w:val="00DB5B96"/>
    <w:rsid w:val="00DD282E"/>
    <w:rsid w:val="00E036EE"/>
    <w:rsid w:val="00E231A9"/>
    <w:rsid w:val="00E3073E"/>
    <w:rsid w:val="00E37A28"/>
    <w:rsid w:val="00E629BC"/>
    <w:rsid w:val="00E66D43"/>
    <w:rsid w:val="00E8412A"/>
    <w:rsid w:val="00EA6D67"/>
    <w:rsid w:val="00EB7828"/>
    <w:rsid w:val="00EC6A5E"/>
    <w:rsid w:val="00ED6343"/>
    <w:rsid w:val="00ED755B"/>
    <w:rsid w:val="00F11B48"/>
    <w:rsid w:val="00F138C7"/>
    <w:rsid w:val="00F152AE"/>
    <w:rsid w:val="00F5031D"/>
    <w:rsid w:val="00F70B65"/>
    <w:rsid w:val="00F911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343F06A0-35CA-4951-B823-F0B64A8F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C7"/>
    <w:rPr>
      <w:lang w:val="en-US" w:eastAsia="en-US"/>
    </w:rPr>
  </w:style>
  <w:style w:type="paragraph" w:styleId="Heading1">
    <w:name w:val="heading 1"/>
    <w:basedOn w:val="Normal"/>
    <w:next w:val="Normal"/>
    <w:link w:val="Heading1Char"/>
    <w:uiPriority w:val="99"/>
    <w:qFormat/>
    <w:pPr>
      <w:keepNext/>
      <w:jc w:val="both"/>
      <w:outlineLvl w:val="0"/>
    </w:pPr>
    <w:rPr>
      <w:sz w:val="24"/>
      <w:lang w:val="et-E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lang w:val="en-US" w:eastAsia="en-US"/>
    </w:rPr>
  </w:style>
  <w:style w:type="paragraph" w:styleId="BodyText2">
    <w:name w:val="Body Text 2"/>
    <w:basedOn w:val="Normal"/>
    <w:link w:val="BodyText2Char"/>
    <w:uiPriority w:val="99"/>
    <w:pPr>
      <w:spacing w:before="40" w:after="40"/>
      <w:jc w:val="both"/>
    </w:pPr>
    <w:rPr>
      <w:sz w:val="24"/>
      <w:lang w:val="et-EE"/>
    </w:rPr>
  </w:style>
  <w:style w:type="character" w:customStyle="1" w:styleId="BodyText2Char">
    <w:name w:val="Body Text 2 Char"/>
    <w:basedOn w:val="DefaultParagraphFont"/>
    <w:link w:val="BodyText2"/>
    <w:uiPriority w:val="99"/>
    <w:semiHidden/>
    <w:locked/>
    <w:rPr>
      <w:rFonts w:cs="Times New Roman"/>
      <w:sz w:val="20"/>
      <w:lang w:val="en-US" w:eastAsia="en-US"/>
    </w:rPr>
  </w:style>
  <w:style w:type="paragraph" w:styleId="BodyText3">
    <w:name w:val="Body Text 3"/>
    <w:basedOn w:val="Normal"/>
    <w:link w:val="BodyText3Char"/>
    <w:uiPriority w:val="99"/>
    <w:pPr>
      <w:tabs>
        <w:tab w:val="left" w:pos="0"/>
        <w:tab w:val="left" w:pos="284"/>
        <w:tab w:val="left" w:pos="426"/>
      </w:tabs>
    </w:pPr>
    <w:rPr>
      <w:sz w:val="24"/>
      <w:lang w:val="et-EE"/>
    </w:rPr>
  </w:style>
  <w:style w:type="character" w:customStyle="1" w:styleId="BodyText3Char">
    <w:name w:val="Body Text 3 Char"/>
    <w:basedOn w:val="DefaultParagraphFont"/>
    <w:link w:val="BodyText3"/>
    <w:uiPriority w:val="99"/>
    <w:semiHidden/>
    <w:locked/>
    <w:rPr>
      <w:rFonts w:cs="Times New Roman"/>
      <w:sz w:val="16"/>
      <w:lang w:val="en-US" w:eastAsia="en-US"/>
    </w:rPr>
  </w:style>
  <w:style w:type="paragraph" w:styleId="BodyTextIndent3">
    <w:name w:val="Body Text Indent 3"/>
    <w:basedOn w:val="Normal"/>
    <w:link w:val="BodyTextIndent3Char"/>
    <w:uiPriority w:val="99"/>
    <w:pPr>
      <w:widowControl w:val="0"/>
      <w:ind w:left="1440"/>
      <w:jc w:val="both"/>
    </w:pPr>
    <w:rPr>
      <w:color w:val="0000FF"/>
      <w:sz w:val="24"/>
      <w:lang w:val="et-EE"/>
    </w:rPr>
  </w:style>
  <w:style w:type="character" w:customStyle="1" w:styleId="BodyTextIndent3Char">
    <w:name w:val="Body Text Indent 3 Char"/>
    <w:basedOn w:val="DefaultParagraphFont"/>
    <w:link w:val="BodyTextIndent3"/>
    <w:uiPriority w:val="99"/>
    <w:semiHidden/>
    <w:locked/>
    <w:rPr>
      <w:rFonts w:cs="Times New Roman"/>
      <w:sz w:val="16"/>
      <w:lang w:val="en-US" w:eastAsia="en-US"/>
    </w:rPr>
  </w:style>
  <w:style w:type="paragraph" w:styleId="DocumentMap">
    <w:name w:val="Document Map"/>
    <w:basedOn w:val="Normal"/>
    <w:link w:val="DocumentMapChar"/>
    <w:uiPriority w:val="99"/>
    <w:semiHidden/>
    <w:rsid w:val="00BA12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lang w:val="en-US" w:eastAsia="en-US"/>
    </w:rPr>
  </w:style>
  <w:style w:type="character" w:customStyle="1" w:styleId="LaadKehatekstEETimesNewRomanMrk">
    <w:name w:val="Laad Kehatekst + EE Times New Roman Märk"/>
    <w:link w:val="LaadKehatekstEETimesNewRoman"/>
    <w:locked/>
    <w:rsid w:val="005C416E"/>
    <w:rPr>
      <w:rFonts w:ascii="Arial" w:hAnsi="Arial"/>
      <w:sz w:val="20"/>
      <w:lang w:val="x-none" w:eastAsia="en-US"/>
    </w:rPr>
  </w:style>
  <w:style w:type="paragraph" w:customStyle="1" w:styleId="LaadKehatekstEETimesNewRoman">
    <w:name w:val="Laad Kehatekst + EE Times New Roman"/>
    <w:basedOn w:val="BodyText2"/>
    <w:next w:val="Normal"/>
    <w:link w:val="LaadKehatekstEETimesNewRomanMrk"/>
    <w:rsid w:val="005C416E"/>
    <w:pPr>
      <w:spacing w:before="0" w:after="0"/>
    </w:pPr>
    <w:rPr>
      <w:rFonts w:ascii="Arial" w:hAnsi="Arial" w:cs="Arial"/>
      <w:sz w:val="20"/>
    </w:rPr>
  </w:style>
  <w:style w:type="paragraph" w:styleId="Title">
    <w:name w:val="Title"/>
    <w:basedOn w:val="Normal"/>
    <w:link w:val="TitleChar"/>
    <w:uiPriority w:val="10"/>
    <w:qFormat/>
    <w:rsid w:val="00883270"/>
    <w:pPr>
      <w:spacing w:before="240" w:after="60"/>
      <w:outlineLvl w:val="0"/>
    </w:pPr>
    <w:rPr>
      <w:b/>
      <w:kern w:val="28"/>
      <w:sz w:val="28"/>
      <w:lang w:val="en-AU"/>
    </w:rPr>
  </w:style>
  <w:style w:type="character" w:customStyle="1" w:styleId="TitleChar">
    <w:name w:val="Title Char"/>
    <w:basedOn w:val="DefaultParagraphFont"/>
    <w:link w:val="Title"/>
    <w:uiPriority w:val="10"/>
    <w:locked/>
    <w:rsid w:val="00883270"/>
    <w:rPr>
      <w:rFonts w:cs="Times New Roman"/>
      <w:b/>
      <w:kern w:val="28"/>
      <w:sz w:val="20"/>
      <w:lang w:val="en-AU" w:eastAsia="en-US"/>
    </w:rPr>
  </w:style>
  <w:style w:type="paragraph" w:customStyle="1" w:styleId="Kuupev">
    <w:name w:val="Kuupäev"/>
    <w:autoRedefine/>
    <w:qFormat/>
    <w:rsid w:val="00971254"/>
    <w:pPr>
      <w:jc w:val="right"/>
    </w:pPr>
    <w:rPr>
      <w:rFonts w:eastAsia="SimSun"/>
      <w:kern w:val="24"/>
      <w:sz w:val="24"/>
      <w:szCs w:val="24"/>
      <w:lang w:eastAsia="zh-CN" w:bidi="hi-IN"/>
    </w:rPr>
  </w:style>
  <w:style w:type="paragraph" w:customStyle="1" w:styleId="Liik">
    <w:name w:val="Liik"/>
    <w:autoRedefine/>
    <w:qFormat/>
    <w:rsid w:val="00971254"/>
    <w:rPr>
      <w:rFonts w:eastAsia="SimSun"/>
      <w:b/>
      <w:caps/>
      <w:kern w:val="24"/>
      <w:sz w:val="24"/>
      <w:szCs w:val="24"/>
      <w:lang w:eastAsia="zh-CN" w:bidi="hi-IN"/>
    </w:rPr>
  </w:style>
  <w:style w:type="character" w:styleId="Hyperlink">
    <w:name w:val="Hyperlink"/>
    <w:basedOn w:val="DefaultParagraphFont"/>
    <w:uiPriority w:val="99"/>
    <w:unhideWhenUsed/>
    <w:rsid w:val="006319F0"/>
    <w:rPr>
      <w:rFonts w:cs="Times New Roman"/>
      <w:color w:val="0000FF"/>
      <w:u w:val="single"/>
    </w:rPr>
  </w:style>
  <w:style w:type="paragraph" w:styleId="FootnoteText">
    <w:name w:val="footnote text"/>
    <w:basedOn w:val="Normal"/>
    <w:link w:val="FootnoteTextChar"/>
    <w:uiPriority w:val="99"/>
    <w:unhideWhenUsed/>
    <w:rsid w:val="006319F0"/>
    <w:rPr>
      <w:rFonts w:ascii="Roboto" w:hAnsi="Roboto"/>
      <w:lang w:val="et-EE"/>
    </w:rPr>
  </w:style>
  <w:style w:type="character" w:customStyle="1" w:styleId="FootnoteTextChar">
    <w:name w:val="Footnote Text Char"/>
    <w:basedOn w:val="DefaultParagraphFont"/>
    <w:link w:val="FootnoteText"/>
    <w:uiPriority w:val="99"/>
    <w:locked/>
    <w:rsid w:val="006319F0"/>
    <w:rPr>
      <w:rFonts w:ascii="Roboto" w:hAnsi="Roboto" w:cs="Times New Roman"/>
      <w:sz w:val="20"/>
      <w:lang w:val="x-none" w:eastAsia="en-US"/>
    </w:rPr>
  </w:style>
  <w:style w:type="character" w:styleId="FootnoteReference">
    <w:name w:val="footnote reference"/>
    <w:basedOn w:val="DefaultParagraphFont"/>
    <w:uiPriority w:val="99"/>
    <w:unhideWhenUsed/>
    <w:rsid w:val="006319F0"/>
    <w:rPr>
      <w:rFonts w:cs="Times New Roman"/>
      <w:vertAlign w:val="superscript"/>
    </w:rPr>
  </w:style>
  <w:style w:type="paragraph" w:styleId="ListParagraph">
    <w:name w:val="List Paragraph"/>
    <w:basedOn w:val="Normal"/>
    <w:uiPriority w:val="34"/>
    <w:qFormat/>
    <w:rsid w:val="008F3752"/>
    <w:pPr>
      <w:spacing w:after="160" w:line="259" w:lineRule="auto"/>
      <w:ind w:left="720"/>
      <w:contextualSpacing/>
    </w:pPr>
    <w:rPr>
      <w:rFonts w:ascii="Roboto" w:hAnsi="Roboto"/>
      <w:lang w:val="et-EE"/>
    </w:rPr>
  </w:style>
  <w:style w:type="table" w:styleId="GridTable1Light">
    <w:name w:val="Grid Table 1 Light"/>
    <w:basedOn w:val="TableNormal"/>
    <w:uiPriority w:val="46"/>
    <w:rsid w:val="008F3752"/>
    <w:rPr>
      <w:rFonts w:ascii="Roboto" w:hAnsi="Roboto"/>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styleId="CommentReference">
    <w:name w:val="annotation reference"/>
    <w:basedOn w:val="DefaultParagraphFont"/>
    <w:uiPriority w:val="99"/>
    <w:unhideWhenUsed/>
    <w:rsid w:val="008F3752"/>
    <w:rPr>
      <w:rFonts w:cs="Times New Roman"/>
      <w:sz w:val="16"/>
    </w:rPr>
  </w:style>
  <w:style w:type="paragraph" w:styleId="CommentText">
    <w:name w:val="annotation text"/>
    <w:basedOn w:val="Normal"/>
    <w:link w:val="CommentTextChar"/>
    <w:uiPriority w:val="99"/>
    <w:unhideWhenUsed/>
    <w:rsid w:val="008F3752"/>
    <w:pPr>
      <w:spacing w:after="160"/>
    </w:pPr>
    <w:rPr>
      <w:rFonts w:ascii="Roboto" w:hAnsi="Roboto"/>
      <w:lang w:val="et-EE"/>
    </w:rPr>
  </w:style>
  <w:style w:type="character" w:customStyle="1" w:styleId="CommentTextChar">
    <w:name w:val="Comment Text Char"/>
    <w:basedOn w:val="DefaultParagraphFont"/>
    <w:link w:val="CommentText"/>
    <w:uiPriority w:val="99"/>
    <w:locked/>
    <w:rsid w:val="008F3752"/>
    <w:rPr>
      <w:rFonts w:ascii="Roboto" w:hAnsi="Roboto" w:cs="Times New Roman"/>
      <w:sz w:val="20"/>
      <w:lang w:val="x-none" w:eastAsia="en-US"/>
    </w:rPr>
  </w:style>
  <w:style w:type="paragraph" w:styleId="BalloonText">
    <w:name w:val="Balloon Text"/>
    <w:basedOn w:val="Normal"/>
    <w:link w:val="BalloonTextChar"/>
    <w:uiPriority w:val="99"/>
    <w:rsid w:val="008F3752"/>
    <w:rPr>
      <w:rFonts w:ascii="Segoe UI" w:hAnsi="Segoe UI" w:cs="Segoe UI"/>
      <w:sz w:val="18"/>
      <w:szCs w:val="18"/>
    </w:rPr>
  </w:style>
  <w:style w:type="character" w:customStyle="1" w:styleId="BalloonTextChar">
    <w:name w:val="Balloon Text Char"/>
    <w:basedOn w:val="DefaultParagraphFont"/>
    <w:link w:val="BalloonText"/>
    <w:uiPriority w:val="99"/>
    <w:locked/>
    <w:rsid w:val="008F3752"/>
    <w:rPr>
      <w:rFonts w:ascii="Segoe UI" w:hAnsi="Segoe UI" w:cs="Times New Roman"/>
      <w:sz w:val="18"/>
      <w:lang w:val="en-US" w:eastAsia="en-US"/>
    </w:rPr>
  </w:style>
  <w:style w:type="paragraph" w:styleId="BodyTextIndent">
    <w:name w:val="Body Text Indent"/>
    <w:basedOn w:val="Normal"/>
    <w:link w:val="BodyTextIndentChar"/>
    <w:uiPriority w:val="99"/>
    <w:rsid w:val="008F3752"/>
    <w:pPr>
      <w:spacing w:after="120"/>
      <w:ind w:left="283"/>
    </w:pPr>
  </w:style>
  <w:style w:type="character" w:customStyle="1" w:styleId="BodyTextIndentChar">
    <w:name w:val="Body Text Indent Char"/>
    <w:basedOn w:val="DefaultParagraphFont"/>
    <w:link w:val="BodyTextIndent"/>
    <w:uiPriority w:val="99"/>
    <w:locked/>
    <w:rsid w:val="008F3752"/>
    <w:rPr>
      <w:rFonts w:cs="Times New Roman"/>
      <w:sz w:val="20"/>
      <w:lang w:val="en-US" w:eastAsia="en-US"/>
    </w:rPr>
  </w:style>
  <w:style w:type="paragraph" w:styleId="NormalWeb">
    <w:name w:val="Normal (Web)"/>
    <w:basedOn w:val="Normal"/>
    <w:uiPriority w:val="99"/>
    <w:rsid w:val="008F3752"/>
    <w:pPr>
      <w:spacing w:before="100" w:beforeAutospacing="1" w:after="100" w:afterAutospacing="1"/>
    </w:pPr>
    <w:rPr>
      <w:sz w:val="24"/>
      <w:szCs w:val="24"/>
      <w:lang w:val="et-EE" w:eastAsia="et-EE"/>
    </w:rPr>
  </w:style>
  <w:style w:type="table" w:styleId="TableGrid">
    <w:name w:val="Table Grid"/>
    <w:basedOn w:val="TableNormal"/>
    <w:uiPriority w:val="59"/>
    <w:rsid w:val="000E0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413D8F"/>
    <w:pPr>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locked/>
    <w:rsid w:val="00413D8F"/>
    <w:rPr>
      <w:rFonts w:ascii="Roboto" w:hAnsi="Roboto" w:cs="Times New Roman"/>
      <w:b/>
      <w:sz w:val="20"/>
      <w:lang w:val="en-US" w:eastAsia="en-US"/>
    </w:rPr>
  </w:style>
  <w:style w:type="character" w:styleId="FollowedHyperlink">
    <w:name w:val="FollowedHyperlink"/>
    <w:basedOn w:val="DefaultParagraphFont"/>
    <w:uiPriority w:val="99"/>
    <w:rsid w:val="00457865"/>
    <w:rPr>
      <w:rFonts w:cs="Times New Roman"/>
      <w:color w:val="800080"/>
      <w:u w:val="single"/>
    </w:rPr>
  </w:style>
  <w:style w:type="paragraph" w:styleId="Subtitle">
    <w:name w:val="Subtitle"/>
    <w:basedOn w:val="Normal"/>
    <w:next w:val="Normal"/>
    <w:link w:val="SubtitleChar"/>
    <w:uiPriority w:val="11"/>
    <w:qFormat/>
    <w:rsid w:val="00C1487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C1487B"/>
    <w:rPr>
      <w:rFonts w:ascii="Cambria" w:hAnsi="Cambria" w:cs="Times New Roman"/>
      <w:sz w:val="24"/>
      <w:lang w:val="en-US" w:eastAsia="en-US"/>
    </w:rPr>
  </w:style>
  <w:style w:type="character" w:styleId="Emphasis">
    <w:name w:val="Emphasis"/>
    <w:basedOn w:val="DefaultParagraphFont"/>
    <w:uiPriority w:val="20"/>
    <w:qFormat/>
    <w:rsid w:val="00D6082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651779">
      <w:marLeft w:val="0"/>
      <w:marRight w:val="0"/>
      <w:marTop w:val="0"/>
      <w:marBottom w:val="0"/>
      <w:divBdr>
        <w:top w:val="none" w:sz="0" w:space="0" w:color="auto"/>
        <w:left w:val="none" w:sz="0" w:space="0" w:color="auto"/>
        <w:bottom w:val="none" w:sz="0" w:space="0" w:color="auto"/>
        <w:right w:val="none" w:sz="0" w:space="0" w:color="auto"/>
      </w:divBdr>
    </w:div>
    <w:div w:id="1964651781">
      <w:marLeft w:val="0"/>
      <w:marRight w:val="0"/>
      <w:marTop w:val="0"/>
      <w:marBottom w:val="0"/>
      <w:divBdr>
        <w:top w:val="none" w:sz="0" w:space="0" w:color="auto"/>
        <w:left w:val="none" w:sz="0" w:space="0" w:color="auto"/>
        <w:bottom w:val="none" w:sz="0" w:space="0" w:color="auto"/>
        <w:right w:val="none" w:sz="0" w:space="0" w:color="auto"/>
      </w:divBdr>
      <w:divsChild>
        <w:div w:id="1964651780">
          <w:marLeft w:val="0"/>
          <w:marRight w:val="0"/>
          <w:marTop w:val="0"/>
          <w:marBottom w:val="0"/>
          <w:divBdr>
            <w:top w:val="none" w:sz="0" w:space="0" w:color="auto"/>
            <w:left w:val="none" w:sz="0" w:space="0" w:color="auto"/>
            <w:bottom w:val="none" w:sz="0" w:space="0" w:color="auto"/>
            <w:right w:val="none" w:sz="0" w:space="0" w:color="auto"/>
          </w:divBdr>
        </w:div>
      </w:divsChild>
    </w:div>
    <w:div w:id="1964651782">
      <w:marLeft w:val="0"/>
      <w:marRight w:val="0"/>
      <w:marTop w:val="0"/>
      <w:marBottom w:val="0"/>
      <w:divBdr>
        <w:top w:val="none" w:sz="0" w:space="0" w:color="auto"/>
        <w:left w:val="none" w:sz="0" w:space="0" w:color="auto"/>
        <w:bottom w:val="none" w:sz="0" w:space="0" w:color="auto"/>
        <w:right w:val="none" w:sz="0" w:space="0" w:color="auto"/>
      </w:divBdr>
    </w:div>
    <w:div w:id="1964651783">
      <w:marLeft w:val="0"/>
      <w:marRight w:val="0"/>
      <w:marTop w:val="0"/>
      <w:marBottom w:val="0"/>
      <w:divBdr>
        <w:top w:val="none" w:sz="0" w:space="0" w:color="auto"/>
        <w:left w:val="none" w:sz="0" w:space="0" w:color="auto"/>
        <w:bottom w:val="none" w:sz="0" w:space="0" w:color="auto"/>
        <w:right w:val="none" w:sz="0" w:space="0" w:color="auto"/>
      </w:divBdr>
      <w:divsChild>
        <w:div w:id="196465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reg/2019/2152/oj" TargetMode="External"/><Relationship Id="rId7" Type="http://schemas.openxmlformats.org/officeDocument/2006/relationships/hyperlink" Target="https://www.riigiteataja.ee/akt/110072020020?leiaKehtiv" TargetMode="External"/><Relationship Id="rId2" Type="http://schemas.openxmlformats.org/officeDocument/2006/relationships/hyperlink" Target="https://eur-lex.europa.eu/legal-content/EN/ALL/?uri=CELEX:32008R0295" TargetMode="External"/><Relationship Id="rId1" Type="http://schemas.openxmlformats.org/officeDocument/2006/relationships/hyperlink" Target="https://eur-lex.europa.eu/legal-content/EN/TXT/?qid=1596040518229&amp;uri=CELEX:32009R0223" TargetMode="External"/><Relationship Id="rId6" Type="http://schemas.openxmlformats.org/officeDocument/2006/relationships/hyperlink" Target="https://www.riigiteataja.ee/akt/104122019004?leiaKehtiv" TargetMode="External"/><Relationship Id="rId5" Type="http://schemas.openxmlformats.org/officeDocument/2006/relationships/hyperlink" Target="https://www.riigiteataja.ee/akt/110072020034?leiaKehtiv" TargetMode="External"/><Relationship Id="rId4" Type="http://schemas.openxmlformats.org/officeDocument/2006/relationships/hyperlink" Target="https://eur-lex.europa.eu/legal-content/ET/TXT/?qid=1596040826201&amp;uri=CELEX:32004R0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anet\Abimaterjal\kiri_ees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9052-415E-4776-B08F-39A98DE5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kiri_eesti</Template>
  <TotalTime>0</TotalTime>
  <Pages>7</Pages>
  <Words>2110</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Eestikeelne logoga kirjapaber</vt:lpstr>
    </vt:vector>
  </TitlesOfParts>
  <Company>Statistikaamet</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Eestikeelne logoga kirjapaber</dc:title>
  <dc:subject/>
  <dc:creator>Oliver Lillma</dc:creator>
  <cp:keywords/>
  <dc:description/>
  <cp:lastModifiedBy>Mart Mägi</cp:lastModifiedBy>
  <cp:revision>2</cp:revision>
  <cp:lastPrinted>2020-09-08T13:30:00Z</cp:lastPrinted>
  <dcterms:created xsi:type="dcterms:W3CDTF">2020-09-09T07:01:00Z</dcterms:created>
  <dcterms:modified xsi:type="dcterms:W3CDTF">2020-09-09T07:01:00Z</dcterms:modified>
</cp:coreProperties>
</file>