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4E" w:rsidRDefault="00CC08F6" w:rsidP="006955EE">
      <w:pPr>
        <w:autoSpaceDE w:val="0"/>
        <w:autoSpaceDN w:val="0"/>
        <w:adjustRightInd w:val="0"/>
        <w:rPr>
          <w:rFonts w:ascii="Arial" w:hAnsi="Arial" w:cs="Arial"/>
          <w:b/>
          <w:bCs/>
          <w:color w:val="B22F16"/>
          <w:sz w:val="28"/>
          <w:szCs w:val="28"/>
        </w:rPr>
      </w:pPr>
      <w:r>
        <w:rPr>
          <w:rFonts w:ascii="Arial" w:hAnsi="Arial" w:cs="Arial"/>
          <w:b/>
          <w:bCs/>
          <w:noProof/>
          <w:color w:val="B22F16"/>
          <w:sz w:val="28"/>
          <w:szCs w:val="28"/>
        </w:rPr>
        <w:drawing>
          <wp:anchor distT="0" distB="0" distL="114300" distR="114300" simplePos="0" relativeHeight="251659264" behindDoc="0" locked="0" layoutInCell="1" allowOverlap="1">
            <wp:simplePos x="0" y="0"/>
            <wp:positionH relativeFrom="column">
              <wp:posOffset>-860425</wp:posOffset>
            </wp:positionH>
            <wp:positionV relativeFrom="paragraph">
              <wp:posOffset>-859155</wp:posOffset>
            </wp:positionV>
            <wp:extent cx="1870710" cy="1412240"/>
            <wp:effectExtent l="19050" t="0" r="0" b="0"/>
            <wp:wrapNone/>
            <wp:docPr id="3" name="Picture 2" descr="blanketi logo värviline inglis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lanketi logo värviline inglise RGB"/>
                    <pic:cNvPicPr>
                      <a:picLocks noChangeAspect="1" noChangeArrowheads="1"/>
                    </pic:cNvPicPr>
                  </pic:nvPicPr>
                  <pic:blipFill>
                    <a:blip r:embed="rId5" cstate="print"/>
                    <a:srcRect/>
                    <a:stretch>
                      <a:fillRect/>
                    </a:stretch>
                  </pic:blipFill>
                  <pic:spPr bwMode="auto">
                    <a:xfrm>
                      <a:off x="0" y="0"/>
                      <a:ext cx="1870710" cy="1412240"/>
                    </a:xfrm>
                    <a:prstGeom prst="rect">
                      <a:avLst/>
                    </a:prstGeom>
                    <a:noFill/>
                    <a:ln w="9525">
                      <a:noFill/>
                      <a:miter lim="800000"/>
                      <a:headEnd/>
                      <a:tailEnd/>
                    </a:ln>
                  </pic:spPr>
                </pic:pic>
              </a:graphicData>
            </a:graphic>
          </wp:anchor>
        </w:drawing>
      </w:r>
    </w:p>
    <w:p w:rsidR="00F9414E" w:rsidRDefault="00F9414E" w:rsidP="006955EE">
      <w:pPr>
        <w:autoSpaceDE w:val="0"/>
        <w:autoSpaceDN w:val="0"/>
        <w:adjustRightInd w:val="0"/>
        <w:rPr>
          <w:rFonts w:ascii="Arial" w:hAnsi="Arial" w:cs="Arial"/>
          <w:b/>
          <w:bCs/>
          <w:color w:val="B22F16"/>
          <w:sz w:val="28"/>
          <w:szCs w:val="28"/>
        </w:rPr>
      </w:pPr>
    </w:p>
    <w:p w:rsidR="00F9414E" w:rsidRDefault="00F9414E" w:rsidP="006955EE">
      <w:pPr>
        <w:autoSpaceDE w:val="0"/>
        <w:autoSpaceDN w:val="0"/>
        <w:adjustRightInd w:val="0"/>
        <w:rPr>
          <w:rFonts w:ascii="Arial" w:hAnsi="Arial" w:cs="Arial"/>
          <w:b/>
          <w:bCs/>
          <w:color w:val="B22F16"/>
          <w:sz w:val="28"/>
          <w:szCs w:val="28"/>
        </w:rPr>
      </w:pPr>
    </w:p>
    <w:p w:rsidR="006955EE" w:rsidRPr="00841F3B" w:rsidRDefault="00FD5759" w:rsidP="006955EE">
      <w:pPr>
        <w:autoSpaceDE w:val="0"/>
        <w:autoSpaceDN w:val="0"/>
        <w:adjustRightInd w:val="0"/>
        <w:rPr>
          <w:rFonts w:ascii="Arial" w:hAnsi="Arial" w:cs="Arial"/>
          <w:b/>
          <w:bCs/>
          <w:color w:val="B22F16"/>
          <w:sz w:val="28"/>
          <w:szCs w:val="28"/>
        </w:rPr>
      </w:pPr>
      <w:r w:rsidRPr="00876D12">
        <w:rPr>
          <w:rFonts w:ascii="Arial-BoldMT" w:hAnsi="Arial-BoldMT" w:cs="Arial-BoldMT"/>
          <w:b/>
          <w:bCs/>
          <w:color w:val="B32F16"/>
          <w:sz w:val="28"/>
          <w:szCs w:val="28"/>
          <w:lang w:val="en-GB"/>
        </w:rPr>
        <w:t>The Gross Domestic Product (GDP) regular revision in 201</w:t>
      </w:r>
      <w:r>
        <w:rPr>
          <w:rFonts w:ascii="Arial-BoldMT" w:hAnsi="Arial-BoldMT" w:cs="Arial-BoldMT"/>
          <w:b/>
          <w:bCs/>
          <w:color w:val="B32F16"/>
          <w:sz w:val="28"/>
          <w:szCs w:val="28"/>
          <w:lang w:val="en-GB"/>
        </w:rPr>
        <w:t>2</w:t>
      </w:r>
    </w:p>
    <w:p w:rsidR="006955EE" w:rsidRPr="00FA351F" w:rsidRDefault="006955EE" w:rsidP="006955EE">
      <w:pPr>
        <w:autoSpaceDE w:val="0"/>
        <w:autoSpaceDN w:val="0"/>
        <w:adjustRightInd w:val="0"/>
        <w:rPr>
          <w:rFonts w:ascii="Arial" w:hAnsi="Arial" w:cs="Arial"/>
          <w:color w:val="000000"/>
          <w:sz w:val="20"/>
          <w:szCs w:val="20"/>
        </w:rPr>
      </w:pPr>
    </w:p>
    <w:p w:rsidR="00FA351F" w:rsidRPr="00FA351F" w:rsidRDefault="00FD5759" w:rsidP="003D5C8D">
      <w:pPr>
        <w:autoSpaceDE w:val="0"/>
        <w:autoSpaceDN w:val="0"/>
        <w:adjustRightInd w:val="0"/>
        <w:jc w:val="both"/>
        <w:rPr>
          <w:rFonts w:ascii="Arial" w:hAnsi="Arial" w:cs="Arial"/>
          <w:sz w:val="20"/>
          <w:szCs w:val="20"/>
        </w:rPr>
      </w:pPr>
      <w:r w:rsidRPr="00876D12">
        <w:rPr>
          <w:rFonts w:ascii="Arial" w:hAnsi="Arial" w:cs="Arial"/>
          <w:color w:val="000000"/>
          <w:sz w:val="20"/>
          <w:szCs w:val="20"/>
          <w:lang w:val="en-GB"/>
        </w:rPr>
        <w:t xml:space="preserve">On </w:t>
      </w:r>
      <w:r>
        <w:rPr>
          <w:rFonts w:ascii="Arial" w:hAnsi="Arial" w:cs="Arial"/>
          <w:color w:val="000000"/>
          <w:sz w:val="20"/>
          <w:szCs w:val="20"/>
          <w:lang w:val="en-GB"/>
        </w:rPr>
        <w:t>7</w:t>
      </w:r>
      <w:r w:rsidRPr="00876D12">
        <w:rPr>
          <w:rFonts w:ascii="Arial" w:hAnsi="Arial" w:cs="Arial"/>
          <w:color w:val="000000"/>
          <w:sz w:val="20"/>
          <w:szCs w:val="20"/>
          <w:lang w:val="en-GB"/>
        </w:rPr>
        <w:t xml:space="preserve"> September Statistics Estonia released the regular </w:t>
      </w:r>
      <w:proofErr w:type="spellStart"/>
      <w:r w:rsidRPr="00876D12">
        <w:rPr>
          <w:rFonts w:ascii="Arial" w:hAnsi="Arial" w:cs="Arial"/>
          <w:color w:val="000000"/>
          <w:sz w:val="20"/>
          <w:szCs w:val="20"/>
          <w:lang w:val="en-GB"/>
        </w:rPr>
        <w:t>revisjon</w:t>
      </w:r>
      <w:proofErr w:type="spellEnd"/>
      <w:r w:rsidRPr="00876D12">
        <w:rPr>
          <w:rFonts w:ascii="Arial" w:hAnsi="Arial" w:cs="Arial"/>
          <w:color w:val="000000"/>
          <w:sz w:val="20"/>
          <w:szCs w:val="20"/>
          <w:lang w:val="en-GB"/>
        </w:rPr>
        <w:t xml:space="preserve"> of 2008–2011 national accounts data.  National accounts of 2008 were revised according to the Supply and Use Tables and accounts of 2010 were revised according to the Structural Business Survey (SBS, in Estonian EKOMAR). Based on these revised years, accounts of 2009 and 2011 were revised as well. As 2011 is </w:t>
      </w:r>
      <w:r>
        <w:rPr>
          <w:rFonts w:ascii="Arial" w:hAnsi="Arial" w:cs="Arial"/>
          <w:color w:val="000000"/>
          <w:sz w:val="20"/>
          <w:szCs w:val="20"/>
          <w:lang w:val="en-GB"/>
        </w:rPr>
        <w:t xml:space="preserve">the </w:t>
      </w:r>
      <w:r w:rsidRPr="00876D12">
        <w:rPr>
          <w:rFonts w:ascii="Arial" w:hAnsi="Arial" w:cs="Arial"/>
          <w:color w:val="000000"/>
          <w:sz w:val="20"/>
          <w:szCs w:val="20"/>
          <w:lang w:val="en-GB"/>
        </w:rPr>
        <w:t xml:space="preserve">base year for the calculation of 2012 accounts, </w:t>
      </w:r>
      <w:r>
        <w:rPr>
          <w:rFonts w:ascii="Arial" w:hAnsi="Arial" w:cs="Arial"/>
          <w:color w:val="000000"/>
          <w:sz w:val="20"/>
          <w:szCs w:val="20"/>
          <w:lang w:val="en-GB"/>
        </w:rPr>
        <w:t xml:space="preserve">the accounts of the </w:t>
      </w:r>
      <w:r w:rsidRPr="00876D12">
        <w:rPr>
          <w:rFonts w:ascii="Arial" w:hAnsi="Arial" w:cs="Arial"/>
          <w:color w:val="000000"/>
          <w:sz w:val="20"/>
          <w:szCs w:val="20"/>
          <w:lang w:val="en-GB"/>
        </w:rPr>
        <w:t>1st quarter of 2012 released in June this year were revised in turn.</w:t>
      </w:r>
    </w:p>
    <w:p w:rsidR="00FA351F" w:rsidRPr="00FA351F" w:rsidRDefault="00FA351F" w:rsidP="003D5C8D">
      <w:pPr>
        <w:autoSpaceDE w:val="0"/>
        <w:autoSpaceDN w:val="0"/>
        <w:adjustRightInd w:val="0"/>
        <w:jc w:val="both"/>
        <w:rPr>
          <w:rFonts w:ascii="Arial" w:hAnsi="Arial" w:cs="Arial"/>
          <w:sz w:val="20"/>
          <w:szCs w:val="20"/>
        </w:rPr>
      </w:pPr>
    </w:p>
    <w:p w:rsidR="00FD5759" w:rsidRPr="00B1755E" w:rsidRDefault="00FD5759" w:rsidP="00FD5759">
      <w:pPr>
        <w:jc w:val="both"/>
        <w:rPr>
          <w:rFonts w:ascii="Arial" w:hAnsi="Arial" w:cs="Arial"/>
          <w:sz w:val="20"/>
          <w:szCs w:val="20"/>
          <w:lang w:val="en-GB"/>
        </w:rPr>
      </w:pPr>
      <w:r>
        <w:rPr>
          <w:rFonts w:ascii="Arial" w:hAnsi="Arial" w:cs="Arial"/>
          <w:sz w:val="20"/>
          <w:szCs w:val="20"/>
          <w:lang w:val="en-GB"/>
        </w:rPr>
        <w:t>The r</w:t>
      </w:r>
      <w:r w:rsidRPr="00B1755E">
        <w:rPr>
          <w:rFonts w:ascii="Arial" w:hAnsi="Arial" w:cs="Arial"/>
          <w:sz w:val="20"/>
          <w:szCs w:val="20"/>
          <w:lang w:val="en-GB"/>
        </w:rPr>
        <w:t xml:space="preserve">aw data used in the estimation of financial services indirectly measured (FISIM) were specified during the revision and </w:t>
      </w:r>
      <w:r>
        <w:rPr>
          <w:rFonts w:ascii="Arial" w:hAnsi="Arial" w:cs="Arial"/>
          <w:sz w:val="20"/>
          <w:szCs w:val="20"/>
          <w:lang w:val="en-GB"/>
        </w:rPr>
        <w:t xml:space="preserve">the </w:t>
      </w:r>
      <w:r w:rsidRPr="00B1755E">
        <w:rPr>
          <w:rFonts w:ascii="Arial" w:hAnsi="Arial" w:cs="Arial"/>
          <w:sz w:val="20"/>
          <w:szCs w:val="20"/>
          <w:lang w:val="en-GB"/>
        </w:rPr>
        <w:t xml:space="preserve">calculation of the figure was renewed. FISIM is inherently the indirect profit earned by financial enterprises from giving out loans to and accepting deposits from other sectors of the economy (including </w:t>
      </w:r>
      <w:r>
        <w:rPr>
          <w:rFonts w:ascii="Arial" w:hAnsi="Arial" w:cs="Arial"/>
          <w:sz w:val="20"/>
          <w:szCs w:val="20"/>
          <w:lang w:val="en-GB"/>
        </w:rPr>
        <w:t xml:space="preserve">the </w:t>
      </w:r>
      <w:r w:rsidRPr="00B1755E">
        <w:rPr>
          <w:rFonts w:ascii="Arial" w:hAnsi="Arial" w:cs="Arial"/>
          <w:sz w:val="20"/>
          <w:szCs w:val="20"/>
          <w:lang w:val="en-GB"/>
        </w:rPr>
        <w:t xml:space="preserve">government, households and non-financial enterprises). While previously </w:t>
      </w:r>
      <w:r>
        <w:rPr>
          <w:rFonts w:ascii="Arial" w:hAnsi="Arial" w:cs="Arial"/>
          <w:sz w:val="20"/>
          <w:szCs w:val="20"/>
          <w:lang w:val="en-GB"/>
        </w:rPr>
        <w:t xml:space="preserve">the </w:t>
      </w:r>
      <w:r w:rsidRPr="00B1755E">
        <w:rPr>
          <w:rFonts w:ascii="Arial" w:hAnsi="Arial" w:cs="Arial"/>
          <w:sz w:val="20"/>
          <w:szCs w:val="20"/>
          <w:lang w:val="en-GB"/>
        </w:rPr>
        <w:t>quarterly average interest rates of loans and deposits in the estimation of FISIM</w:t>
      </w:r>
      <w:r>
        <w:rPr>
          <w:rFonts w:ascii="Arial" w:hAnsi="Arial" w:cs="Arial"/>
          <w:sz w:val="20"/>
          <w:szCs w:val="20"/>
          <w:lang w:val="en-GB"/>
        </w:rPr>
        <w:t xml:space="preserve"> </w:t>
      </w:r>
      <w:r w:rsidRPr="00B1755E">
        <w:rPr>
          <w:rFonts w:ascii="Arial" w:hAnsi="Arial" w:cs="Arial"/>
          <w:sz w:val="20"/>
          <w:szCs w:val="20"/>
          <w:lang w:val="en-GB"/>
        </w:rPr>
        <w:t xml:space="preserve">were applied, </w:t>
      </w:r>
      <w:r>
        <w:rPr>
          <w:rFonts w:ascii="Arial" w:hAnsi="Arial" w:cs="Arial"/>
          <w:sz w:val="20"/>
          <w:szCs w:val="20"/>
          <w:lang w:val="en-GB"/>
        </w:rPr>
        <w:t xml:space="preserve">the </w:t>
      </w:r>
      <w:r w:rsidRPr="00B1755E">
        <w:rPr>
          <w:rFonts w:ascii="Arial" w:hAnsi="Arial" w:cs="Arial"/>
          <w:sz w:val="20"/>
          <w:szCs w:val="20"/>
          <w:lang w:val="en-GB"/>
        </w:rPr>
        <w:t>monthly average interest rates are currently applied. FISIM of the rest-of-the-world sector calculated by the Bank of Estonia were applied since 2009 estimations. The resulting adjustment affected the output and intermediate consumption of FISIM in the revised period, which, in turn, had a direct effect on the value added of the financial sector and an indirect effect (by intermediate consumption) on the value added of other sectors in the economy.</w:t>
      </w:r>
    </w:p>
    <w:p w:rsidR="00E5276C" w:rsidRPr="00FA351F" w:rsidRDefault="00E5276C" w:rsidP="003D5C8D">
      <w:pPr>
        <w:autoSpaceDE w:val="0"/>
        <w:autoSpaceDN w:val="0"/>
        <w:adjustRightInd w:val="0"/>
        <w:jc w:val="both"/>
        <w:rPr>
          <w:rFonts w:ascii="Arial" w:hAnsi="Arial" w:cs="Arial"/>
          <w:color w:val="000000"/>
          <w:sz w:val="20"/>
          <w:szCs w:val="20"/>
        </w:rPr>
      </w:pPr>
    </w:p>
    <w:p w:rsidR="00542115" w:rsidRDefault="00FD5759" w:rsidP="003D5C8D">
      <w:pPr>
        <w:autoSpaceDE w:val="0"/>
        <w:autoSpaceDN w:val="0"/>
        <w:adjustRightInd w:val="0"/>
        <w:jc w:val="both"/>
        <w:rPr>
          <w:rFonts w:ascii="Arial" w:hAnsi="Arial" w:cs="Arial"/>
          <w:color w:val="000000"/>
          <w:sz w:val="20"/>
          <w:szCs w:val="20"/>
        </w:rPr>
      </w:pPr>
      <w:r w:rsidRPr="00B1755E">
        <w:rPr>
          <w:rFonts w:ascii="Arial" w:hAnsi="Arial" w:cs="Arial"/>
          <w:sz w:val="20"/>
          <w:szCs w:val="20"/>
          <w:lang w:val="en-GB"/>
        </w:rPr>
        <w:t xml:space="preserve">In addition, </w:t>
      </w:r>
      <w:r>
        <w:rPr>
          <w:rFonts w:ascii="Arial" w:hAnsi="Arial" w:cs="Arial"/>
          <w:sz w:val="20"/>
          <w:szCs w:val="20"/>
          <w:lang w:val="en-GB"/>
        </w:rPr>
        <w:t xml:space="preserve">the </w:t>
      </w:r>
      <w:r w:rsidRPr="00B1755E">
        <w:rPr>
          <w:rFonts w:ascii="Arial" w:hAnsi="Arial" w:cs="Arial"/>
          <w:sz w:val="20"/>
          <w:szCs w:val="20"/>
          <w:lang w:val="en-GB"/>
        </w:rPr>
        <w:t>deflation of the GDP transactions on product basis was elaborated and the application of the ind</w:t>
      </w:r>
      <w:r>
        <w:rPr>
          <w:rFonts w:ascii="Arial" w:hAnsi="Arial" w:cs="Arial"/>
          <w:sz w:val="20"/>
          <w:szCs w:val="20"/>
          <w:lang w:val="en-GB"/>
        </w:rPr>
        <w:t>ic</w:t>
      </w:r>
      <w:r w:rsidRPr="00B1755E">
        <w:rPr>
          <w:rFonts w:ascii="Arial" w:hAnsi="Arial" w:cs="Arial"/>
          <w:sz w:val="20"/>
          <w:szCs w:val="20"/>
          <w:lang w:val="en-GB"/>
        </w:rPr>
        <w:t>es was revised</w:t>
      </w:r>
      <w:r w:rsidR="00995D17">
        <w:rPr>
          <w:rFonts w:ascii="Arial" w:hAnsi="Arial" w:cs="Arial"/>
          <w:color w:val="000000"/>
          <w:sz w:val="20"/>
          <w:szCs w:val="20"/>
        </w:rPr>
        <w:t>.</w:t>
      </w:r>
    </w:p>
    <w:p w:rsidR="00941DCE" w:rsidRDefault="00941DCE" w:rsidP="003D5C8D">
      <w:pPr>
        <w:autoSpaceDE w:val="0"/>
        <w:autoSpaceDN w:val="0"/>
        <w:adjustRightInd w:val="0"/>
        <w:jc w:val="both"/>
        <w:rPr>
          <w:rFonts w:ascii="Arial" w:hAnsi="Arial" w:cs="Arial"/>
          <w:color w:val="000000"/>
          <w:sz w:val="20"/>
          <w:szCs w:val="20"/>
        </w:rPr>
      </w:pPr>
    </w:p>
    <w:p w:rsidR="006955EE" w:rsidRPr="00841F3B" w:rsidRDefault="002605E1" w:rsidP="00E22B1B">
      <w:pPr>
        <w:autoSpaceDE w:val="0"/>
        <w:autoSpaceDN w:val="0"/>
        <w:adjustRightInd w:val="0"/>
        <w:spacing w:after="120"/>
        <w:jc w:val="both"/>
        <w:rPr>
          <w:rFonts w:ascii="Arial" w:hAnsi="Arial" w:cs="Arial"/>
          <w:b/>
          <w:bCs/>
          <w:color w:val="B22F16"/>
        </w:rPr>
      </w:pPr>
      <w:r w:rsidRPr="00876D12">
        <w:rPr>
          <w:rFonts w:ascii="Arial-BoldMT" w:hAnsi="Arial-BoldMT" w:cs="Arial-BoldMT"/>
          <w:b/>
          <w:bCs/>
          <w:color w:val="B32F16"/>
          <w:lang w:val="en-GB"/>
        </w:rPr>
        <w:t>Impact of the revision released in 201</w:t>
      </w:r>
      <w:r>
        <w:rPr>
          <w:rFonts w:ascii="Arial-BoldMT" w:hAnsi="Arial-BoldMT" w:cs="Arial-BoldMT"/>
          <w:b/>
          <w:bCs/>
          <w:color w:val="B32F16"/>
          <w:lang w:val="en-GB"/>
        </w:rPr>
        <w:t>2</w:t>
      </w:r>
      <w:r w:rsidRPr="00876D12">
        <w:rPr>
          <w:rFonts w:ascii="Arial-BoldMT" w:hAnsi="Arial-BoldMT" w:cs="Arial-BoldMT"/>
          <w:b/>
          <w:bCs/>
          <w:color w:val="B32F16"/>
          <w:lang w:val="en-GB"/>
        </w:rPr>
        <w:t xml:space="preserve"> on the GDP</w:t>
      </w:r>
    </w:p>
    <w:p w:rsidR="0056687E" w:rsidRPr="007D3894" w:rsidRDefault="002605E1" w:rsidP="003D5C8D">
      <w:pPr>
        <w:autoSpaceDE w:val="0"/>
        <w:autoSpaceDN w:val="0"/>
        <w:adjustRightInd w:val="0"/>
        <w:jc w:val="both"/>
        <w:rPr>
          <w:rFonts w:ascii="Arial" w:hAnsi="Arial" w:cs="Arial"/>
          <w:sz w:val="20"/>
          <w:szCs w:val="20"/>
        </w:rPr>
      </w:pPr>
      <w:r w:rsidRPr="00876D12">
        <w:rPr>
          <w:rFonts w:ascii="ArialMT" w:hAnsi="ArialMT" w:cs="ArialMT"/>
          <w:color w:val="000000"/>
          <w:sz w:val="20"/>
          <w:szCs w:val="20"/>
          <w:lang w:val="en-GB"/>
        </w:rPr>
        <w:t>Ensuing from the regular revision made in 2012</w:t>
      </w:r>
      <w:r>
        <w:rPr>
          <w:rFonts w:ascii="ArialMT" w:hAnsi="ArialMT" w:cs="ArialMT"/>
          <w:color w:val="000000"/>
          <w:sz w:val="20"/>
          <w:szCs w:val="20"/>
          <w:lang w:val="en-GB"/>
        </w:rPr>
        <w:t>,</w:t>
      </w:r>
      <w:r w:rsidRPr="00876D12">
        <w:rPr>
          <w:rFonts w:ascii="ArialMT" w:hAnsi="ArialMT" w:cs="ArialMT"/>
          <w:color w:val="000000"/>
          <w:sz w:val="20"/>
          <w:szCs w:val="20"/>
          <w:lang w:val="en-GB"/>
        </w:rPr>
        <w:t xml:space="preserve"> the annual GDP at current prices changed from -0.6 to +0</w:t>
      </w:r>
      <w:r>
        <w:rPr>
          <w:rFonts w:ascii="ArialMT" w:hAnsi="ArialMT" w:cs="ArialMT"/>
          <w:color w:val="000000"/>
          <w:sz w:val="20"/>
          <w:szCs w:val="20"/>
          <w:lang w:val="en-GB"/>
        </w:rPr>
        <w:t>.</w:t>
      </w:r>
      <w:r w:rsidRPr="00876D12">
        <w:rPr>
          <w:rFonts w:ascii="ArialMT" w:hAnsi="ArialMT" w:cs="ArialMT"/>
          <w:color w:val="000000"/>
          <w:sz w:val="20"/>
          <w:szCs w:val="20"/>
          <w:lang w:val="en-GB"/>
        </w:rPr>
        <w:t xml:space="preserve">1% in 2008–2011 (Table 1). </w:t>
      </w:r>
      <w:r>
        <w:rPr>
          <w:rFonts w:ascii="ArialMT" w:hAnsi="ArialMT" w:cs="ArialMT"/>
          <w:color w:val="000000"/>
          <w:sz w:val="20"/>
          <w:szCs w:val="20"/>
          <w:lang w:val="en-GB"/>
        </w:rPr>
        <w:t>The r</w:t>
      </w:r>
      <w:r w:rsidRPr="00876D12">
        <w:rPr>
          <w:rFonts w:ascii="ArialMT" w:hAnsi="ArialMT" w:cs="ArialMT"/>
          <w:color w:val="000000"/>
          <w:sz w:val="20"/>
          <w:szCs w:val="20"/>
          <w:lang w:val="en-GB"/>
        </w:rPr>
        <w:t>eal growth of the annual GDP changed from -0.5 to +1.1 percentage points and the quarterly GDP real growth changed in the same period from -1.4 to +1.6 percentage points (Table 2 and Figure 1).</w:t>
      </w:r>
    </w:p>
    <w:p w:rsidR="00795796" w:rsidRPr="00FA351F" w:rsidRDefault="00795796" w:rsidP="003D5C8D">
      <w:pPr>
        <w:autoSpaceDE w:val="0"/>
        <w:autoSpaceDN w:val="0"/>
        <w:adjustRightInd w:val="0"/>
        <w:jc w:val="both"/>
        <w:rPr>
          <w:rFonts w:ascii="Arial" w:hAnsi="Arial" w:cs="Arial"/>
          <w:b/>
          <w:bCs/>
          <w:color w:val="B32F16"/>
          <w:sz w:val="20"/>
          <w:szCs w:val="20"/>
        </w:rPr>
      </w:pPr>
    </w:p>
    <w:p w:rsidR="001E7B1D" w:rsidRDefault="001E7B1D" w:rsidP="00E22B1B">
      <w:pPr>
        <w:autoSpaceDE w:val="0"/>
        <w:autoSpaceDN w:val="0"/>
        <w:adjustRightInd w:val="0"/>
        <w:spacing w:after="120"/>
        <w:rPr>
          <w:rFonts w:ascii="Arial" w:hAnsi="Arial" w:cs="Arial"/>
          <w:b/>
          <w:bCs/>
          <w:color w:val="B22F16"/>
          <w:sz w:val="20"/>
          <w:szCs w:val="20"/>
        </w:rPr>
      </w:pPr>
    </w:p>
    <w:p w:rsidR="006955EE" w:rsidRPr="00841F3B" w:rsidRDefault="002605E1" w:rsidP="00E22B1B">
      <w:pPr>
        <w:autoSpaceDE w:val="0"/>
        <w:autoSpaceDN w:val="0"/>
        <w:adjustRightInd w:val="0"/>
        <w:spacing w:after="120"/>
        <w:rPr>
          <w:rFonts w:ascii="Arial" w:hAnsi="Arial" w:cs="Arial"/>
          <w:b/>
          <w:bCs/>
          <w:color w:val="B22F16"/>
          <w:sz w:val="20"/>
          <w:szCs w:val="20"/>
        </w:rPr>
      </w:pPr>
      <w:proofErr w:type="gramStart"/>
      <w:r w:rsidRPr="00876D12">
        <w:rPr>
          <w:rFonts w:ascii="Arial-BoldMT" w:hAnsi="Arial-BoldMT" w:cs="Arial-BoldMT"/>
          <w:b/>
          <w:bCs/>
          <w:color w:val="B32F16"/>
          <w:sz w:val="20"/>
          <w:szCs w:val="20"/>
          <w:lang w:val="en-GB"/>
        </w:rPr>
        <w:t>Table 1.</w:t>
      </w:r>
      <w:proofErr w:type="gramEnd"/>
      <w:r w:rsidRPr="00876D12">
        <w:rPr>
          <w:rFonts w:ascii="Arial-BoldMT" w:hAnsi="Arial-BoldMT" w:cs="Arial-BoldMT"/>
          <w:b/>
          <w:bCs/>
          <w:color w:val="B32F16"/>
          <w:sz w:val="20"/>
          <w:szCs w:val="20"/>
          <w:lang w:val="en-GB"/>
        </w:rPr>
        <w:t xml:space="preserve"> GDP at current prices before and after </w:t>
      </w:r>
      <w:r w:rsidRPr="00B1755E">
        <w:rPr>
          <w:rFonts w:ascii="Arial-BoldMT" w:hAnsi="Arial-BoldMT" w:cs="Arial-BoldMT"/>
          <w:b/>
          <w:bCs/>
          <w:color w:val="B32F16"/>
          <w:sz w:val="20"/>
          <w:szCs w:val="20"/>
          <w:lang w:val="en-GB"/>
        </w:rPr>
        <w:t>revision</w:t>
      </w:r>
      <w:r w:rsidRPr="00876D12">
        <w:rPr>
          <w:rFonts w:ascii="Arial-BoldMT" w:hAnsi="Arial-BoldMT" w:cs="Arial-BoldMT"/>
          <w:b/>
          <w:bCs/>
          <w:color w:val="B32F16"/>
          <w:sz w:val="20"/>
          <w:szCs w:val="20"/>
          <w:lang w:val="en-GB"/>
        </w:rPr>
        <w:t>, 2008</w:t>
      </w:r>
      <w:r>
        <w:rPr>
          <w:rFonts w:ascii="Arial-BoldMT" w:hAnsi="Arial-BoldMT" w:cs="Arial-BoldMT"/>
          <w:b/>
          <w:bCs/>
          <w:color w:val="B32F16"/>
          <w:sz w:val="20"/>
          <w:szCs w:val="20"/>
          <w:lang w:val="en-GB"/>
        </w:rPr>
        <w:t>–</w:t>
      </w:r>
      <w:r w:rsidRPr="00876D12">
        <w:rPr>
          <w:rFonts w:ascii="Arial-BoldMT" w:hAnsi="Arial-BoldMT" w:cs="Arial-BoldMT"/>
          <w:b/>
          <w:bCs/>
          <w:color w:val="B32F16"/>
          <w:sz w:val="20"/>
          <w:szCs w:val="20"/>
          <w:lang w:val="en-GB"/>
        </w:rPr>
        <w:t>2011</w:t>
      </w:r>
    </w:p>
    <w:tbl>
      <w:tblPr>
        <w:tblW w:w="6404" w:type="dxa"/>
        <w:tblInd w:w="70" w:type="dxa"/>
        <w:tblLayout w:type="fixed"/>
        <w:tblCellMar>
          <w:left w:w="70" w:type="dxa"/>
          <w:right w:w="70" w:type="dxa"/>
        </w:tblCellMar>
        <w:tblLook w:val="04A0"/>
      </w:tblPr>
      <w:tblGrid>
        <w:gridCol w:w="1276"/>
        <w:gridCol w:w="1709"/>
        <w:gridCol w:w="1709"/>
        <w:gridCol w:w="1710"/>
      </w:tblGrid>
      <w:tr w:rsidR="002605E1" w:rsidRPr="00795796" w:rsidTr="00E22B1B">
        <w:trPr>
          <w:trHeight w:val="255"/>
        </w:trPr>
        <w:tc>
          <w:tcPr>
            <w:tcW w:w="1276" w:type="dxa"/>
            <w:tcBorders>
              <w:top w:val="single" w:sz="4" w:space="0" w:color="auto"/>
              <w:left w:val="nil"/>
              <w:bottom w:val="nil"/>
              <w:right w:val="nil"/>
            </w:tcBorders>
            <w:shd w:val="clear" w:color="auto" w:fill="CFEEA0"/>
            <w:noWrap/>
            <w:vAlign w:val="bottom"/>
            <w:hideMark/>
          </w:tcPr>
          <w:p w:rsidR="002605E1" w:rsidRPr="00795796" w:rsidRDefault="002605E1" w:rsidP="00795796">
            <w:pPr>
              <w:rPr>
                <w:rFonts w:ascii="Arial" w:hAnsi="Arial" w:cs="Arial"/>
                <w:color w:val="000000"/>
                <w:sz w:val="20"/>
                <w:szCs w:val="20"/>
              </w:rPr>
            </w:pPr>
            <w:r w:rsidRPr="00795796">
              <w:rPr>
                <w:rFonts w:ascii="Arial" w:hAnsi="Arial" w:cs="Arial"/>
                <w:color w:val="000000"/>
                <w:sz w:val="20"/>
                <w:szCs w:val="20"/>
              </w:rPr>
              <w:t> </w:t>
            </w:r>
          </w:p>
        </w:tc>
        <w:tc>
          <w:tcPr>
            <w:tcW w:w="1709" w:type="dxa"/>
            <w:tcBorders>
              <w:top w:val="single" w:sz="4" w:space="0" w:color="auto"/>
              <w:left w:val="nil"/>
              <w:bottom w:val="nil"/>
              <w:right w:val="nil"/>
            </w:tcBorders>
            <w:shd w:val="clear" w:color="auto" w:fill="CFEEA0"/>
            <w:noWrap/>
            <w:vAlign w:val="bottom"/>
            <w:hideMark/>
          </w:tcPr>
          <w:p w:rsidR="002605E1" w:rsidRPr="00B1755E" w:rsidRDefault="002605E1" w:rsidP="002605E1">
            <w:pPr>
              <w:jc w:val="right"/>
              <w:rPr>
                <w:rFonts w:ascii="Arial" w:hAnsi="Arial" w:cs="Arial"/>
                <w:color w:val="000000"/>
                <w:sz w:val="20"/>
                <w:szCs w:val="20"/>
                <w:lang w:val="en-GB"/>
              </w:rPr>
            </w:pPr>
            <w:r w:rsidRPr="00876D12">
              <w:rPr>
                <w:rFonts w:ascii="Arial" w:hAnsi="Arial" w:cs="Arial"/>
                <w:color w:val="000000"/>
                <w:sz w:val="20"/>
                <w:szCs w:val="20"/>
                <w:lang w:val="en-GB"/>
              </w:rPr>
              <w:t>before revision</w:t>
            </w:r>
          </w:p>
        </w:tc>
        <w:tc>
          <w:tcPr>
            <w:tcW w:w="1709" w:type="dxa"/>
            <w:tcBorders>
              <w:top w:val="single" w:sz="4" w:space="0" w:color="auto"/>
              <w:left w:val="nil"/>
              <w:bottom w:val="nil"/>
              <w:right w:val="nil"/>
            </w:tcBorders>
            <w:shd w:val="clear" w:color="auto" w:fill="CFEEA0"/>
            <w:noWrap/>
            <w:vAlign w:val="bottom"/>
            <w:hideMark/>
          </w:tcPr>
          <w:p w:rsidR="002605E1" w:rsidRPr="00B1755E" w:rsidRDefault="002605E1" w:rsidP="002605E1">
            <w:pPr>
              <w:jc w:val="right"/>
              <w:rPr>
                <w:rFonts w:ascii="Arial" w:hAnsi="Arial" w:cs="Arial"/>
                <w:color w:val="000000"/>
                <w:sz w:val="20"/>
                <w:szCs w:val="20"/>
                <w:lang w:val="en-GB"/>
              </w:rPr>
            </w:pPr>
            <w:r w:rsidRPr="00876D12">
              <w:rPr>
                <w:rFonts w:ascii="Arial" w:hAnsi="Arial" w:cs="Arial"/>
                <w:color w:val="000000"/>
                <w:sz w:val="20"/>
                <w:szCs w:val="20"/>
                <w:lang w:val="en-GB"/>
              </w:rPr>
              <w:t>after revision</w:t>
            </w:r>
          </w:p>
        </w:tc>
        <w:tc>
          <w:tcPr>
            <w:tcW w:w="1710" w:type="dxa"/>
            <w:tcBorders>
              <w:top w:val="single" w:sz="4" w:space="0" w:color="auto"/>
              <w:left w:val="nil"/>
              <w:bottom w:val="nil"/>
              <w:right w:val="nil"/>
            </w:tcBorders>
            <w:shd w:val="clear" w:color="auto" w:fill="CFEEA0"/>
            <w:noWrap/>
            <w:vAlign w:val="bottom"/>
            <w:hideMark/>
          </w:tcPr>
          <w:p w:rsidR="002605E1" w:rsidRPr="00795796" w:rsidRDefault="002605E1" w:rsidP="002605E1">
            <w:pPr>
              <w:jc w:val="right"/>
              <w:rPr>
                <w:rFonts w:ascii="Arial" w:hAnsi="Arial" w:cs="Arial"/>
                <w:color w:val="000000"/>
                <w:sz w:val="20"/>
                <w:szCs w:val="20"/>
              </w:rPr>
            </w:pPr>
            <w:r w:rsidRPr="00876D12">
              <w:rPr>
                <w:rFonts w:ascii="Arial" w:hAnsi="Arial" w:cs="Arial"/>
                <w:color w:val="000000"/>
                <w:sz w:val="20"/>
                <w:szCs w:val="20"/>
                <w:lang w:val="en-GB"/>
              </w:rPr>
              <w:t>difference,</w:t>
            </w:r>
          </w:p>
        </w:tc>
      </w:tr>
      <w:tr w:rsidR="002605E1" w:rsidRPr="00795796" w:rsidTr="00E22B1B">
        <w:trPr>
          <w:trHeight w:val="255"/>
        </w:trPr>
        <w:tc>
          <w:tcPr>
            <w:tcW w:w="1276" w:type="dxa"/>
            <w:tcBorders>
              <w:top w:val="nil"/>
              <w:left w:val="nil"/>
              <w:bottom w:val="single" w:sz="4" w:space="0" w:color="auto"/>
              <w:right w:val="nil"/>
            </w:tcBorders>
            <w:shd w:val="clear" w:color="auto" w:fill="CFEEA0"/>
            <w:noWrap/>
            <w:vAlign w:val="bottom"/>
            <w:hideMark/>
          </w:tcPr>
          <w:p w:rsidR="002605E1" w:rsidRPr="00795796" w:rsidRDefault="002605E1" w:rsidP="00795796">
            <w:pPr>
              <w:rPr>
                <w:rFonts w:ascii="Arial" w:hAnsi="Arial" w:cs="Arial"/>
                <w:color w:val="000000"/>
                <w:sz w:val="20"/>
                <w:szCs w:val="20"/>
              </w:rPr>
            </w:pPr>
            <w:r w:rsidRPr="00795796">
              <w:rPr>
                <w:rFonts w:ascii="Arial" w:hAnsi="Arial" w:cs="Arial"/>
                <w:color w:val="000000"/>
                <w:sz w:val="20"/>
                <w:szCs w:val="20"/>
              </w:rPr>
              <w:t> </w:t>
            </w:r>
          </w:p>
        </w:tc>
        <w:tc>
          <w:tcPr>
            <w:tcW w:w="1709" w:type="dxa"/>
            <w:tcBorders>
              <w:top w:val="nil"/>
              <w:left w:val="nil"/>
              <w:bottom w:val="single" w:sz="4" w:space="0" w:color="auto"/>
              <w:right w:val="nil"/>
            </w:tcBorders>
            <w:shd w:val="clear" w:color="auto" w:fill="CFEEA0"/>
            <w:noWrap/>
            <w:vAlign w:val="bottom"/>
            <w:hideMark/>
          </w:tcPr>
          <w:p w:rsidR="002605E1" w:rsidRPr="00B1755E" w:rsidRDefault="002605E1" w:rsidP="002605E1">
            <w:pPr>
              <w:jc w:val="right"/>
              <w:rPr>
                <w:rFonts w:ascii="Arial" w:hAnsi="Arial" w:cs="Arial"/>
                <w:color w:val="000000"/>
                <w:sz w:val="20"/>
                <w:szCs w:val="20"/>
                <w:lang w:val="en-GB"/>
              </w:rPr>
            </w:pPr>
            <w:proofErr w:type="spellStart"/>
            <w:r w:rsidRPr="00876D12">
              <w:rPr>
                <w:rFonts w:ascii="Arial" w:hAnsi="Arial" w:cs="Arial"/>
                <w:color w:val="000000"/>
                <w:sz w:val="20"/>
                <w:szCs w:val="20"/>
                <w:lang w:val="en-GB"/>
              </w:rPr>
              <w:t>mln</w:t>
            </w:r>
            <w:proofErr w:type="spellEnd"/>
            <w:r w:rsidRPr="00876D12">
              <w:rPr>
                <w:rFonts w:ascii="Arial" w:hAnsi="Arial" w:cs="Arial"/>
                <w:color w:val="000000"/>
                <w:sz w:val="20"/>
                <w:szCs w:val="20"/>
                <w:lang w:val="en-GB"/>
              </w:rPr>
              <w:t xml:space="preserve"> Euros</w:t>
            </w:r>
          </w:p>
        </w:tc>
        <w:tc>
          <w:tcPr>
            <w:tcW w:w="1709" w:type="dxa"/>
            <w:tcBorders>
              <w:top w:val="nil"/>
              <w:left w:val="nil"/>
              <w:bottom w:val="single" w:sz="4" w:space="0" w:color="auto"/>
              <w:right w:val="nil"/>
            </w:tcBorders>
            <w:shd w:val="clear" w:color="auto" w:fill="CFEEA0"/>
            <w:noWrap/>
            <w:vAlign w:val="bottom"/>
            <w:hideMark/>
          </w:tcPr>
          <w:p w:rsidR="002605E1" w:rsidRPr="00B1755E" w:rsidRDefault="002605E1" w:rsidP="002605E1">
            <w:pPr>
              <w:jc w:val="right"/>
              <w:rPr>
                <w:rFonts w:ascii="Arial" w:hAnsi="Arial" w:cs="Arial"/>
                <w:color w:val="000000"/>
                <w:sz w:val="20"/>
                <w:szCs w:val="20"/>
                <w:lang w:val="en-GB"/>
              </w:rPr>
            </w:pPr>
            <w:proofErr w:type="spellStart"/>
            <w:r w:rsidRPr="00876D12">
              <w:rPr>
                <w:rFonts w:ascii="Arial" w:hAnsi="Arial" w:cs="Arial"/>
                <w:color w:val="000000"/>
                <w:sz w:val="20"/>
                <w:szCs w:val="20"/>
                <w:lang w:val="en-GB"/>
              </w:rPr>
              <w:t>mln</w:t>
            </w:r>
            <w:proofErr w:type="spellEnd"/>
            <w:r w:rsidRPr="00876D12">
              <w:rPr>
                <w:rFonts w:ascii="Arial" w:hAnsi="Arial" w:cs="Arial"/>
                <w:color w:val="000000"/>
                <w:sz w:val="20"/>
                <w:szCs w:val="20"/>
                <w:lang w:val="en-GB"/>
              </w:rPr>
              <w:t xml:space="preserve"> Euros</w:t>
            </w:r>
          </w:p>
        </w:tc>
        <w:tc>
          <w:tcPr>
            <w:tcW w:w="1710" w:type="dxa"/>
            <w:tcBorders>
              <w:top w:val="nil"/>
              <w:left w:val="nil"/>
              <w:bottom w:val="single" w:sz="4" w:space="0" w:color="auto"/>
              <w:right w:val="nil"/>
            </w:tcBorders>
            <w:shd w:val="clear" w:color="auto" w:fill="CFEEA0"/>
            <w:noWrap/>
            <w:vAlign w:val="bottom"/>
            <w:hideMark/>
          </w:tcPr>
          <w:p w:rsidR="002605E1" w:rsidRPr="00795796" w:rsidRDefault="002605E1" w:rsidP="002605E1">
            <w:pPr>
              <w:jc w:val="right"/>
              <w:rPr>
                <w:rFonts w:ascii="Arial" w:hAnsi="Arial" w:cs="Arial"/>
                <w:color w:val="000000"/>
                <w:sz w:val="20"/>
                <w:szCs w:val="20"/>
              </w:rPr>
            </w:pPr>
            <w:r>
              <w:rPr>
                <w:rFonts w:ascii="Arial" w:hAnsi="Arial" w:cs="Arial"/>
                <w:color w:val="000000"/>
                <w:sz w:val="20"/>
                <w:szCs w:val="20"/>
              </w:rPr>
              <w:t>%</w:t>
            </w:r>
          </w:p>
        </w:tc>
      </w:tr>
      <w:tr w:rsidR="00795796" w:rsidRPr="00795796" w:rsidTr="00E22B1B">
        <w:trPr>
          <w:trHeight w:val="255"/>
        </w:trPr>
        <w:tc>
          <w:tcPr>
            <w:tcW w:w="1276" w:type="dxa"/>
            <w:tcBorders>
              <w:top w:val="nil"/>
              <w:left w:val="nil"/>
              <w:right w:val="nil"/>
            </w:tcBorders>
            <w:shd w:val="clear" w:color="auto" w:fill="auto"/>
            <w:noWrap/>
            <w:vAlign w:val="bottom"/>
            <w:hideMark/>
          </w:tcPr>
          <w:p w:rsidR="00795796" w:rsidRPr="00795796" w:rsidRDefault="00795796" w:rsidP="00E22B1B">
            <w:pPr>
              <w:rPr>
                <w:rFonts w:ascii="Arial" w:hAnsi="Arial" w:cs="Arial"/>
                <w:color w:val="000000"/>
                <w:sz w:val="20"/>
                <w:szCs w:val="20"/>
              </w:rPr>
            </w:pPr>
            <w:r w:rsidRPr="00795796">
              <w:rPr>
                <w:rFonts w:ascii="Arial" w:hAnsi="Arial" w:cs="Arial"/>
                <w:color w:val="000000"/>
                <w:sz w:val="20"/>
                <w:szCs w:val="20"/>
              </w:rPr>
              <w:t>2008</w:t>
            </w:r>
          </w:p>
        </w:tc>
        <w:tc>
          <w:tcPr>
            <w:tcW w:w="1709" w:type="dxa"/>
            <w:tcBorders>
              <w:top w:val="nil"/>
              <w:left w:val="nil"/>
              <w:right w:val="nil"/>
            </w:tcBorders>
            <w:shd w:val="clear" w:color="auto" w:fill="auto"/>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16</w:t>
            </w:r>
            <w:r w:rsidR="009A67EE">
              <w:rPr>
                <w:rFonts w:ascii="Arial" w:hAnsi="Arial" w:cs="Arial"/>
                <w:color w:val="000000"/>
                <w:sz w:val="20"/>
                <w:szCs w:val="20"/>
              </w:rPr>
              <w:t xml:space="preserve"> </w:t>
            </w:r>
            <w:r w:rsidRPr="00795796">
              <w:rPr>
                <w:rFonts w:ascii="Arial" w:hAnsi="Arial" w:cs="Arial"/>
                <w:color w:val="000000"/>
                <w:sz w:val="20"/>
                <w:szCs w:val="20"/>
              </w:rPr>
              <w:t>304,2</w:t>
            </w:r>
          </w:p>
        </w:tc>
        <w:tc>
          <w:tcPr>
            <w:tcW w:w="1709" w:type="dxa"/>
            <w:tcBorders>
              <w:top w:val="nil"/>
              <w:left w:val="nil"/>
              <w:right w:val="nil"/>
            </w:tcBorders>
            <w:shd w:val="clear" w:color="auto" w:fill="auto"/>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16</w:t>
            </w:r>
            <w:r w:rsidR="009A67EE">
              <w:rPr>
                <w:rFonts w:ascii="Arial" w:hAnsi="Arial" w:cs="Arial"/>
                <w:color w:val="000000"/>
                <w:sz w:val="20"/>
                <w:szCs w:val="20"/>
              </w:rPr>
              <w:t xml:space="preserve"> </w:t>
            </w:r>
            <w:r w:rsidRPr="00795796">
              <w:rPr>
                <w:rFonts w:ascii="Arial" w:hAnsi="Arial" w:cs="Arial"/>
                <w:color w:val="000000"/>
                <w:sz w:val="20"/>
                <w:szCs w:val="20"/>
              </w:rPr>
              <w:t>235,1</w:t>
            </w:r>
          </w:p>
        </w:tc>
        <w:tc>
          <w:tcPr>
            <w:tcW w:w="1710" w:type="dxa"/>
            <w:tcBorders>
              <w:top w:val="nil"/>
              <w:left w:val="nil"/>
              <w:right w:val="nil"/>
            </w:tcBorders>
            <w:shd w:val="clear" w:color="auto" w:fill="auto"/>
            <w:noWrap/>
            <w:vAlign w:val="bottom"/>
            <w:hideMark/>
          </w:tcPr>
          <w:p w:rsidR="00795796" w:rsidRPr="00795796" w:rsidRDefault="009A67EE" w:rsidP="00795796">
            <w:pPr>
              <w:jc w:val="right"/>
              <w:rPr>
                <w:rFonts w:ascii="Arial" w:hAnsi="Arial" w:cs="Arial"/>
                <w:color w:val="000000"/>
                <w:sz w:val="20"/>
                <w:szCs w:val="20"/>
              </w:rPr>
            </w:pPr>
            <w:r>
              <w:rPr>
                <w:rFonts w:ascii="Arial" w:hAnsi="Arial" w:cs="Arial"/>
                <w:color w:val="000000"/>
                <w:sz w:val="20"/>
                <w:szCs w:val="20"/>
              </w:rPr>
              <w:t>–</w:t>
            </w:r>
            <w:r w:rsidR="00795796" w:rsidRPr="00795796">
              <w:rPr>
                <w:rFonts w:ascii="Arial" w:hAnsi="Arial" w:cs="Arial"/>
                <w:color w:val="000000"/>
                <w:sz w:val="20"/>
                <w:szCs w:val="20"/>
              </w:rPr>
              <w:t>0,4</w:t>
            </w:r>
          </w:p>
        </w:tc>
      </w:tr>
      <w:tr w:rsidR="00795796" w:rsidRPr="00795796" w:rsidTr="00E22B1B">
        <w:trPr>
          <w:trHeight w:val="255"/>
        </w:trPr>
        <w:tc>
          <w:tcPr>
            <w:tcW w:w="1276" w:type="dxa"/>
            <w:tcBorders>
              <w:top w:val="nil"/>
              <w:left w:val="nil"/>
              <w:bottom w:val="nil"/>
              <w:right w:val="nil"/>
            </w:tcBorders>
            <w:shd w:val="clear" w:color="000000" w:fill="CFEEA0"/>
            <w:noWrap/>
            <w:vAlign w:val="bottom"/>
            <w:hideMark/>
          </w:tcPr>
          <w:p w:rsidR="00795796" w:rsidRPr="00795796" w:rsidRDefault="00795796" w:rsidP="00E22B1B">
            <w:pPr>
              <w:rPr>
                <w:rFonts w:ascii="Arial" w:hAnsi="Arial" w:cs="Arial"/>
                <w:color w:val="000000"/>
                <w:sz w:val="20"/>
                <w:szCs w:val="20"/>
              </w:rPr>
            </w:pPr>
            <w:r w:rsidRPr="00795796">
              <w:rPr>
                <w:rFonts w:ascii="Arial" w:hAnsi="Arial" w:cs="Arial"/>
                <w:color w:val="000000"/>
                <w:sz w:val="20"/>
                <w:szCs w:val="20"/>
              </w:rPr>
              <w:t>2009</w:t>
            </w:r>
          </w:p>
        </w:tc>
        <w:tc>
          <w:tcPr>
            <w:tcW w:w="1709" w:type="dxa"/>
            <w:tcBorders>
              <w:top w:val="nil"/>
              <w:left w:val="nil"/>
              <w:bottom w:val="nil"/>
              <w:right w:val="nil"/>
            </w:tcBorders>
            <w:shd w:val="clear" w:color="000000" w:fill="CFEEA0"/>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13</w:t>
            </w:r>
            <w:r w:rsidR="009A67EE">
              <w:rPr>
                <w:rFonts w:ascii="Arial" w:hAnsi="Arial" w:cs="Arial"/>
                <w:color w:val="000000"/>
                <w:sz w:val="20"/>
                <w:szCs w:val="20"/>
              </w:rPr>
              <w:t xml:space="preserve"> </w:t>
            </w:r>
            <w:r w:rsidRPr="00795796">
              <w:rPr>
                <w:rFonts w:ascii="Arial" w:hAnsi="Arial" w:cs="Arial"/>
                <w:color w:val="000000"/>
                <w:sz w:val="20"/>
                <w:szCs w:val="20"/>
              </w:rPr>
              <w:t>839,6</w:t>
            </w:r>
          </w:p>
        </w:tc>
        <w:tc>
          <w:tcPr>
            <w:tcW w:w="1709" w:type="dxa"/>
            <w:tcBorders>
              <w:top w:val="nil"/>
              <w:left w:val="nil"/>
              <w:bottom w:val="nil"/>
              <w:right w:val="nil"/>
            </w:tcBorders>
            <w:shd w:val="clear" w:color="000000" w:fill="CFEEA0"/>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13</w:t>
            </w:r>
            <w:r w:rsidR="009A67EE">
              <w:rPr>
                <w:rFonts w:ascii="Arial" w:hAnsi="Arial" w:cs="Arial"/>
                <w:color w:val="000000"/>
                <w:sz w:val="20"/>
                <w:szCs w:val="20"/>
              </w:rPr>
              <w:t xml:space="preserve"> </w:t>
            </w:r>
            <w:r w:rsidRPr="00795796">
              <w:rPr>
                <w:rFonts w:ascii="Arial" w:hAnsi="Arial" w:cs="Arial"/>
                <w:color w:val="000000"/>
                <w:sz w:val="20"/>
                <w:szCs w:val="20"/>
              </w:rPr>
              <w:t>761,7</w:t>
            </w:r>
          </w:p>
        </w:tc>
        <w:tc>
          <w:tcPr>
            <w:tcW w:w="1710" w:type="dxa"/>
            <w:tcBorders>
              <w:top w:val="nil"/>
              <w:left w:val="nil"/>
              <w:bottom w:val="nil"/>
              <w:right w:val="nil"/>
            </w:tcBorders>
            <w:shd w:val="clear" w:color="000000" w:fill="CFEEA0"/>
            <w:noWrap/>
            <w:vAlign w:val="bottom"/>
            <w:hideMark/>
          </w:tcPr>
          <w:p w:rsidR="00795796" w:rsidRPr="00795796" w:rsidRDefault="009A67EE" w:rsidP="00795796">
            <w:pPr>
              <w:jc w:val="right"/>
              <w:rPr>
                <w:rFonts w:ascii="Arial" w:hAnsi="Arial" w:cs="Arial"/>
                <w:color w:val="000000"/>
                <w:sz w:val="20"/>
                <w:szCs w:val="20"/>
              </w:rPr>
            </w:pPr>
            <w:r>
              <w:rPr>
                <w:rFonts w:ascii="Arial" w:hAnsi="Arial" w:cs="Arial"/>
                <w:color w:val="000000"/>
                <w:sz w:val="20"/>
                <w:szCs w:val="20"/>
              </w:rPr>
              <w:t>–</w:t>
            </w:r>
            <w:r w:rsidR="00795796" w:rsidRPr="00795796">
              <w:rPr>
                <w:rFonts w:ascii="Arial" w:hAnsi="Arial" w:cs="Arial"/>
                <w:color w:val="000000"/>
                <w:sz w:val="20"/>
                <w:szCs w:val="20"/>
              </w:rPr>
              <w:t>0,6</w:t>
            </w:r>
          </w:p>
        </w:tc>
      </w:tr>
      <w:tr w:rsidR="00795796" w:rsidRPr="00795796" w:rsidTr="00E22B1B">
        <w:trPr>
          <w:trHeight w:val="255"/>
        </w:trPr>
        <w:tc>
          <w:tcPr>
            <w:tcW w:w="1276" w:type="dxa"/>
            <w:tcBorders>
              <w:top w:val="nil"/>
              <w:left w:val="nil"/>
              <w:right w:val="nil"/>
            </w:tcBorders>
            <w:shd w:val="clear" w:color="auto" w:fill="auto"/>
            <w:noWrap/>
            <w:vAlign w:val="bottom"/>
            <w:hideMark/>
          </w:tcPr>
          <w:p w:rsidR="00795796" w:rsidRPr="00795796" w:rsidRDefault="00795796" w:rsidP="00E22B1B">
            <w:pPr>
              <w:rPr>
                <w:rFonts w:ascii="Arial" w:hAnsi="Arial" w:cs="Arial"/>
                <w:color w:val="000000"/>
                <w:sz w:val="20"/>
                <w:szCs w:val="20"/>
              </w:rPr>
            </w:pPr>
            <w:r w:rsidRPr="00795796">
              <w:rPr>
                <w:rFonts w:ascii="Arial" w:hAnsi="Arial" w:cs="Arial"/>
                <w:color w:val="000000"/>
                <w:sz w:val="20"/>
                <w:szCs w:val="20"/>
              </w:rPr>
              <w:t>2010</w:t>
            </w:r>
          </w:p>
        </w:tc>
        <w:tc>
          <w:tcPr>
            <w:tcW w:w="1709" w:type="dxa"/>
            <w:tcBorders>
              <w:top w:val="nil"/>
              <w:left w:val="nil"/>
              <w:right w:val="nil"/>
            </w:tcBorders>
            <w:shd w:val="clear" w:color="auto" w:fill="auto"/>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14</w:t>
            </w:r>
            <w:r w:rsidR="009A67EE">
              <w:rPr>
                <w:rFonts w:ascii="Arial" w:hAnsi="Arial" w:cs="Arial"/>
                <w:color w:val="000000"/>
                <w:sz w:val="20"/>
                <w:szCs w:val="20"/>
              </w:rPr>
              <w:t xml:space="preserve"> </w:t>
            </w:r>
            <w:r w:rsidRPr="00795796">
              <w:rPr>
                <w:rFonts w:ascii="Arial" w:hAnsi="Arial" w:cs="Arial"/>
                <w:color w:val="000000"/>
                <w:sz w:val="20"/>
                <w:szCs w:val="20"/>
              </w:rPr>
              <w:t>305,3</w:t>
            </w:r>
          </w:p>
        </w:tc>
        <w:tc>
          <w:tcPr>
            <w:tcW w:w="1709" w:type="dxa"/>
            <w:tcBorders>
              <w:top w:val="nil"/>
              <w:left w:val="nil"/>
              <w:right w:val="nil"/>
            </w:tcBorders>
            <w:shd w:val="clear" w:color="auto" w:fill="auto"/>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14</w:t>
            </w:r>
            <w:r w:rsidR="009A67EE">
              <w:rPr>
                <w:rFonts w:ascii="Arial" w:hAnsi="Arial" w:cs="Arial"/>
                <w:color w:val="000000"/>
                <w:sz w:val="20"/>
                <w:szCs w:val="20"/>
              </w:rPr>
              <w:t xml:space="preserve"> </w:t>
            </w:r>
            <w:r w:rsidRPr="00795796">
              <w:rPr>
                <w:rFonts w:ascii="Arial" w:hAnsi="Arial" w:cs="Arial"/>
                <w:color w:val="000000"/>
                <w:sz w:val="20"/>
                <w:szCs w:val="20"/>
              </w:rPr>
              <w:t>322,7</w:t>
            </w:r>
          </w:p>
        </w:tc>
        <w:tc>
          <w:tcPr>
            <w:tcW w:w="1710" w:type="dxa"/>
            <w:tcBorders>
              <w:top w:val="nil"/>
              <w:left w:val="nil"/>
              <w:right w:val="nil"/>
            </w:tcBorders>
            <w:shd w:val="clear" w:color="auto" w:fill="auto"/>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0,1</w:t>
            </w:r>
          </w:p>
        </w:tc>
      </w:tr>
      <w:tr w:rsidR="00795796" w:rsidRPr="00795796" w:rsidTr="00E22B1B">
        <w:trPr>
          <w:trHeight w:val="255"/>
        </w:trPr>
        <w:tc>
          <w:tcPr>
            <w:tcW w:w="1276" w:type="dxa"/>
            <w:tcBorders>
              <w:top w:val="nil"/>
              <w:left w:val="nil"/>
              <w:bottom w:val="nil"/>
              <w:right w:val="nil"/>
            </w:tcBorders>
            <w:shd w:val="clear" w:color="000000" w:fill="CFEEA0"/>
            <w:noWrap/>
            <w:vAlign w:val="bottom"/>
            <w:hideMark/>
          </w:tcPr>
          <w:p w:rsidR="00795796" w:rsidRPr="00795796" w:rsidRDefault="00795796" w:rsidP="00E22B1B">
            <w:pPr>
              <w:rPr>
                <w:rFonts w:ascii="Arial" w:hAnsi="Arial" w:cs="Arial"/>
                <w:color w:val="000000"/>
                <w:sz w:val="20"/>
                <w:szCs w:val="20"/>
              </w:rPr>
            </w:pPr>
            <w:r w:rsidRPr="00795796">
              <w:rPr>
                <w:rFonts w:ascii="Arial" w:hAnsi="Arial" w:cs="Arial"/>
                <w:color w:val="000000"/>
                <w:sz w:val="20"/>
                <w:szCs w:val="20"/>
              </w:rPr>
              <w:t>2011</w:t>
            </w:r>
          </w:p>
        </w:tc>
        <w:tc>
          <w:tcPr>
            <w:tcW w:w="1709" w:type="dxa"/>
            <w:tcBorders>
              <w:top w:val="nil"/>
              <w:left w:val="nil"/>
              <w:bottom w:val="nil"/>
              <w:right w:val="nil"/>
            </w:tcBorders>
            <w:shd w:val="clear" w:color="000000" w:fill="CFEEA0"/>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15</w:t>
            </w:r>
            <w:r w:rsidR="009A67EE">
              <w:rPr>
                <w:rFonts w:ascii="Arial" w:hAnsi="Arial" w:cs="Arial"/>
                <w:color w:val="000000"/>
                <w:sz w:val="20"/>
                <w:szCs w:val="20"/>
              </w:rPr>
              <w:t xml:space="preserve"> </w:t>
            </w:r>
            <w:r w:rsidRPr="00795796">
              <w:rPr>
                <w:rFonts w:ascii="Arial" w:hAnsi="Arial" w:cs="Arial"/>
                <w:color w:val="000000"/>
                <w:sz w:val="20"/>
                <w:szCs w:val="20"/>
              </w:rPr>
              <w:t>973,0</w:t>
            </w:r>
          </w:p>
        </w:tc>
        <w:tc>
          <w:tcPr>
            <w:tcW w:w="1709" w:type="dxa"/>
            <w:tcBorders>
              <w:top w:val="nil"/>
              <w:left w:val="nil"/>
              <w:bottom w:val="nil"/>
              <w:right w:val="nil"/>
            </w:tcBorders>
            <w:shd w:val="clear" w:color="000000" w:fill="CFEEA0"/>
            <w:noWrap/>
            <w:vAlign w:val="bottom"/>
            <w:hideMark/>
          </w:tcPr>
          <w:p w:rsidR="00795796" w:rsidRPr="00795796" w:rsidRDefault="00795796" w:rsidP="00795796">
            <w:pPr>
              <w:jc w:val="right"/>
              <w:rPr>
                <w:rFonts w:ascii="Arial" w:hAnsi="Arial" w:cs="Arial"/>
                <w:color w:val="000000"/>
                <w:sz w:val="20"/>
                <w:szCs w:val="20"/>
              </w:rPr>
            </w:pPr>
            <w:r w:rsidRPr="00795796">
              <w:rPr>
                <w:rFonts w:ascii="Arial" w:hAnsi="Arial" w:cs="Arial"/>
                <w:color w:val="000000"/>
                <w:sz w:val="20"/>
                <w:szCs w:val="20"/>
              </w:rPr>
              <w:t>15</w:t>
            </w:r>
            <w:r w:rsidR="009A67EE">
              <w:rPr>
                <w:rFonts w:ascii="Arial" w:hAnsi="Arial" w:cs="Arial"/>
                <w:color w:val="000000"/>
                <w:sz w:val="20"/>
                <w:szCs w:val="20"/>
              </w:rPr>
              <w:t xml:space="preserve"> </w:t>
            </w:r>
            <w:r w:rsidRPr="00795796">
              <w:rPr>
                <w:rFonts w:ascii="Arial" w:hAnsi="Arial" w:cs="Arial"/>
                <w:color w:val="000000"/>
                <w:sz w:val="20"/>
                <w:szCs w:val="20"/>
              </w:rPr>
              <w:t>951,4</w:t>
            </w:r>
          </w:p>
        </w:tc>
        <w:tc>
          <w:tcPr>
            <w:tcW w:w="1710" w:type="dxa"/>
            <w:tcBorders>
              <w:top w:val="nil"/>
              <w:left w:val="nil"/>
              <w:bottom w:val="nil"/>
              <w:right w:val="nil"/>
            </w:tcBorders>
            <w:shd w:val="clear" w:color="000000" w:fill="CFEEA0"/>
            <w:noWrap/>
            <w:vAlign w:val="bottom"/>
            <w:hideMark/>
          </w:tcPr>
          <w:p w:rsidR="00795796" w:rsidRPr="00795796" w:rsidRDefault="009A67EE" w:rsidP="00795796">
            <w:pPr>
              <w:jc w:val="right"/>
              <w:rPr>
                <w:rFonts w:ascii="Arial" w:hAnsi="Arial" w:cs="Arial"/>
                <w:color w:val="000000"/>
                <w:sz w:val="20"/>
                <w:szCs w:val="20"/>
              </w:rPr>
            </w:pPr>
            <w:r>
              <w:rPr>
                <w:rFonts w:ascii="Arial" w:hAnsi="Arial" w:cs="Arial"/>
                <w:color w:val="000000"/>
                <w:sz w:val="20"/>
                <w:szCs w:val="20"/>
              </w:rPr>
              <w:t>–</w:t>
            </w:r>
            <w:r w:rsidR="00795796" w:rsidRPr="00795796">
              <w:rPr>
                <w:rFonts w:ascii="Arial" w:hAnsi="Arial" w:cs="Arial"/>
                <w:color w:val="000000"/>
                <w:sz w:val="20"/>
                <w:szCs w:val="20"/>
              </w:rPr>
              <w:t>0,1</w:t>
            </w:r>
          </w:p>
        </w:tc>
      </w:tr>
    </w:tbl>
    <w:p w:rsidR="00F2347C" w:rsidRDefault="00F2347C" w:rsidP="006955EE">
      <w:pPr>
        <w:autoSpaceDE w:val="0"/>
        <w:autoSpaceDN w:val="0"/>
        <w:adjustRightInd w:val="0"/>
        <w:rPr>
          <w:rFonts w:ascii="Arial" w:hAnsi="Arial" w:cs="Arial"/>
          <w:b/>
          <w:bCs/>
          <w:color w:val="B32F16"/>
          <w:sz w:val="20"/>
          <w:szCs w:val="20"/>
        </w:rPr>
      </w:pPr>
    </w:p>
    <w:p w:rsidR="001E7B1D" w:rsidRDefault="001E7B1D" w:rsidP="00E22B1B">
      <w:pPr>
        <w:autoSpaceDE w:val="0"/>
        <w:autoSpaceDN w:val="0"/>
        <w:adjustRightInd w:val="0"/>
        <w:spacing w:after="120"/>
        <w:rPr>
          <w:rFonts w:ascii="Arial" w:hAnsi="Arial" w:cs="Arial"/>
          <w:b/>
          <w:bCs/>
          <w:color w:val="B22F16"/>
          <w:sz w:val="20"/>
          <w:szCs w:val="20"/>
        </w:rPr>
      </w:pPr>
    </w:p>
    <w:p w:rsidR="00F2347C" w:rsidRPr="00841F3B" w:rsidRDefault="002605E1" w:rsidP="00E22B1B">
      <w:pPr>
        <w:autoSpaceDE w:val="0"/>
        <w:autoSpaceDN w:val="0"/>
        <w:adjustRightInd w:val="0"/>
        <w:spacing w:after="120"/>
        <w:rPr>
          <w:rFonts w:ascii="Arial" w:hAnsi="Arial" w:cs="Arial"/>
          <w:b/>
          <w:bCs/>
          <w:color w:val="B22F16"/>
          <w:sz w:val="20"/>
          <w:szCs w:val="20"/>
        </w:rPr>
      </w:pPr>
      <w:proofErr w:type="gramStart"/>
      <w:r w:rsidRPr="00876D12">
        <w:rPr>
          <w:rFonts w:ascii="Arial-BoldMT" w:hAnsi="Arial-BoldMT" w:cs="Arial-BoldMT"/>
          <w:b/>
          <w:bCs/>
          <w:color w:val="B32F16"/>
          <w:sz w:val="20"/>
          <w:szCs w:val="20"/>
          <w:lang w:val="en-GB"/>
        </w:rPr>
        <w:t>Table 2.</w:t>
      </w:r>
      <w:proofErr w:type="gramEnd"/>
      <w:r w:rsidRPr="00876D12">
        <w:rPr>
          <w:rFonts w:ascii="Arial-BoldMT" w:hAnsi="Arial-BoldMT" w:cs="Arial-BoldMT"/>
          <w:b/>
          <w:bCs/>
          <w:color w:val="B32F16"/>
          <w:sz w:val="20"/>
          <w:szCs w:val="20"/>
          <w:lang w:val="en-GB"/>
        </w:rPr>
        <w:t xml:space="preserve"> The difference of the revised GDP growth (compared to the same quarter of the previous year) with the growth rate published before, 1st quarter 2008</w:t>
      </w:r>
      <w:r>
        <w:rPr>
          <w:rFonts w:ascii="Arial-BoldMT" w:hAnsi="Arial-BoldMT" w:cs="Arial-BoldMT"/>
          <w:b/>
          <w:bCs/>
          <w:color w:val="B32F16"/>
          <w:sz w:val="20"/>
          <w:szCs w:val="20"/>
          <w:lang w:val="en-GB"/>
        </w:rPr>
        <w:t xml:space="preserve"> – </w:t>
      </w:r>
      <w:r w:rsidRPr="00876D12">
        <w:rPr>
          <w:rFonts w:ascii="Arial-BoldMT" w:hAnsi="Arial-BoldMT" w:cs="Arial-BoldMT"/>
          <w:b/>
          <w:bCs/>
          <w:color w:val="B32F16"/>
          <w:sz w:val="20"/>
          <w:szCs w:val="20"/>
          <w:lang w:val="en-GB"/>
        </w:rPr>
        <w:t>1st quarter 2012</w:t>
      </w:r>
    </w:p>
    <w:tbl>
      <w:tblPr>
        <w:tblW w:w="9796" w:type="dxa"/>
        <w:tblInd w:w="70" w:type="dxa"/>
        <w:tblCellMar>
          <w:left w:w="70" w:type="dxa"/>
          <w:right w:w="70" w:type="dxa"/>
        </w:tblCellMar>
        <w:tblLook w:val="04A0"/>
      </w:tblPr>
      <w:tblGrid>
        <w:gridCol w:w="1271"/>
        <w:gridCol w:w="731"/>
        <w:gridCol w:w="992"/>
        <w:gridCol w:w="854"/>
        <w:gridCol w:w="981"/>
        <w:gridCol w:w="731"/>
        <w:gridCol w:w="981"/>
        <w:gridCol w:w="731"/>
        <w:gridCol w:w="981"/>
        <w:gridCol w:w="731"/>
        <w:gridCol w:w="981"/>
      </w:tblGrid>
      <w:tr w:rsidR="002605E1" w:rsidRPr="002605E1" w:rsidTr="002605E1">
        <w:trPr>
          <w:trHeight w:val="255"/>
        </w:trPr>
        <w:tc>
          <w:tcPr>
            <w:tcW w:w="1271" w:type="dxa"/>
            <w:tcBorders>
              <w:top w:val="single" w:sz="4" w:space="0" w:color="auto"/>
              <w:left w:val="nil"/>
              <w:bottom w:val="nil"/>
            </w:tcBorders>
            <w:shd w:val="clear" w:color="auto" w:fill="CFEEA0"/>
            <w:noWrap/>
            <w:vAlign w:val="bottom"/>
            <w:hideMark/>
          </w:tcPr>
          <w:p w:rsidR="002605E1" w:rsidRPr="002605E1" w:rsidRDefault="002605E1" w:rsidP="00B03396">
            <w:pPr>
              <w:rPr>
                <w:rFonts w:ascii="Arial" w:hAnsi="Arial" w:cs="Arial"/>
                <w:color w:val="000000"/>
                <w:sz w:val="18"/>
                <w:szCs w:val="18"/>
                <w:lang w:val="en-GB"/>
              </w:rPr>
            </w:pPr>
            <w:r w:rsidRPr="002605E1">
              <w:rPr>
                <w:rFonts w:ascii="Arial" w:hAnsi="Arial" w:cs="Arial"/>
                <w:color w:val="000000"/>
                <w:sz w:val="18"/>
                <w:szCs w:val="18"/>
                <w:lang w:val="en-GB"/>
              </w:rPr>
              <w:t>Quarters/Year</w:t>
            </w:r>
          </w:p>
        </w:tc>
        <w:tc>
          <w:tcPr>
            <w:tcW w:w="1701" w:type="dxa"/>
            <w:gridSpan w:val="2"/>
            <w:tcBorders>
              <w:top w:val="single" w:sz="4" w:space="0" w:color="auto"/>
              <w:bottom w:val="single" w:sz="4" w:space="0" w:color="auto"/>
            </w:tcBorders>
            <w:shd w:val="clear" w:color="auto" w:fill="CFEEA0"/>
            <w:noWrap/>
            <w:vAlign w:val="bottom"/>
            <w:hideMark/>
          </w:tcPr>
          <w:p w:rsidR="002605E1" w:rsidRPr="002605E1" w:rsidRDefault="002605E1" w:rsidP="007F6653">
            <w:pPr>
              <w:jc w:val="right"/>
              <w:rPr>
                <w:rFonts w:ascii="Arial" w:hAnsi="Arial" w:cs="Arial"/>
                <w:color w:val="000000"/>
                <w:sz w:val="18"/>
                <w:szCs w:val="18"/>
              </w:rPr>
            </w:pPr>
            <w:r w:rsidRPr="002605E1">
              <w:rPr>
                <w:rFonts w:ascii="Arial" w:hAnsi="Arial" w:cs="Arial"/>
                <w:color w:val="000000"/>
                <w:sz w:val="18"/>
                <w:szCs w:val="18"/>
              </w:rPr>
              <w:t>2008</w:t>
            </w:r>
          </w:p>
        </w:tc>
        <w:tc>
          <w:tcPr>
            <w:tcW w:w="1828" w:type="dxa"/>
            <w:gridSpan w:val="2"/>
            <w:tcBorders>
              <w:top w:val="single" w:sz="4" w:space="0" w:color="auto"/>
              <w:bottom w:val="single" w:sz="4" w:space="0" w:color="auto"/>
            </w:tcBorders>
            <w:shd w:val="clear" w:color="auto" w:fill="CFEEA0"/>
            <w:noWrap/>
            <w:vAlign w:val="bottom"/>
            <w:hideMark/>
          </w:tcPr>
          <w:p w:rsidR="002605E1" w:rsidRPr="002605E1" w:rsidRDefault="002605E1" w:rsidP="007F6653">
            <w:pPr>
              <w:jc w:val="right"/>
              <w:rPr>
                <w:rFonts w:ascii="Arial" w:hAnsi="Arial" w:cs="Arial"/>
                <w:color w:val="000000"/>
                <w:sz w:val="18"/>
                <w:szCs w:val="18"/>
              </w:rPr>
            </w:pPr>
            <w:r w:rsidRPr="002605E1">
              <w:rPr>
                <w:rFonts w:ascii="Arial" w:hAnsi="Arial" w:cs="Arial"/>
                <w:color w:val="000000"/>
                <w:sz w:val="18"/>
                <w:szCs w:val="18"/>
              </w:rPr>
              <w:t>2009</w:t>
            </w:r>
          </w:p>
        </w:tc>
        <w:tc>
          <w:tcPr>
            <w:tcW w:w="1675" w:type="dxa"/>
            <w:gridSpan w:val="2"/>
            <w:tcBorders>
              <w:top w:val="single" w:sz="4" w:space="0" w:color="auto"/>
              <w:bottom w:val="single" w:sz="4" w:space="0" w:color="auto"/>
            </w:tcBorders>
            <w:shd w:val="clear" w:color="auto" w:fill="CFEEA0"/>
            <w:noWrap/>
            <w:vAlign w:val="bottom"/>
            <w:hideMark/>
          </w:tcPr>
          <w:p w:rsidR="002605E1" w:rsidRPr="002605E1" w:rsidRDefault="002605E1" w:rsidP="007F6653">
            <w:pPr>
              <w:jc w:val="right"/>
              <w:rPr>
                <w:rFonts w:ascii="Arial" w:hAnsi="Arial" w:cs="Arial"/>
                <w:color w:val="000000"/>
                <w:sz w:val="18"/>
                <w:szCs w:val="18"/>
              </w:rPr>
            </w:pPr>
            <w:r w:rsidRPr="002605E1">
              <w:rPr>
                <w:rFonts w:ascii="Arial" w:hAnsi="Arial" w:cs="Arial"/>
                <w:color w:val="000000"/>
                <w:sz w:val="18"/>
                <w:szCs w:val="18"/>
              </w:rPr>
              <w:t>2010</w:t>
            </w:r>
          </w:p>
        </w:tc>
        <w:tc>
          <w:tcPr>
            <w:tcW w:w="1668" w:type="dxa"/>
            <w:gridSpan w:val="2"/>
            <w:tcBorders>
              <w:top w:val="single" w:sz="4" w:space="0" w:color="auto"/>
              <w:bottom w:val="single" w:sz="4" w:space="0" w:color="auto"/>
            </w:tcBorders>
            <w:shd w:val="clear" w:color="auto" w:fill="CFEEA0"/>
            <w:noWrap/>
            <w:vAlign w:val="bottom"/>
            <w:hideMark/>
          </w:tcPr>
          <w:p w:rsidR="002605E1" w:rsidRPr="002605E1" w:rsidRDefault="002605E1" w:rsidP="007F6653">
            <w:pPr>
              <w:jc w:val="right"/>
              <w:rPr>
                <w:rFonts w:ascii="Arial" w:hAnsi="Arial" w:cs="Arial"/>
                <w:color w:val="000000"/>
                <w:sz w:val="18"/>
                <w:szCs w:val="18"/>
              </w:rPr>
            </w:pPr>
            <w:r w:rsidRPr="002605E1">
              <w:rPr>
                <w:rFonts w:ascii="Arial" w:hAnsi="Arial" w:cs="Arial"/>
                <w:color w:val="000000"/>
                <w:sz w:val="18"/>
                <w:szCs w:val="18"/>
              </w:rPr>
              <w:t>2011</w:t>
            </w:r>
          </w:p>
        </w:tc>
        <w:tc>
          <w:tcPr>
            <w:tcW w:w="1653" w:type="dxa"/>
            <w:gridSpan w:val="2"/>
            <w:tcBorders>
              <w:top w:val="single" w:sz="4" w:space="0" w:color="auto"/>
              <w:bottom w:val="single" w:sz="4" w:space="0" w:color="auto"/>
            </w:tcBorders>
            <w:shd w:val="clear" w:color="auto" w:fill="CFEEA0"/>
            <w:noWrap/>
            <w:vAlign w:val="bottom"/>
            <w:hideMark/>
          </w:tcPr>
          <w:p w:rsidR="002605E1" w:rsidRPr="002605E1" w:rsidRDefault="002605E1" w:rsidP="007F6653">
            <w:pPr>
              <w:jc w:val="right"/>
              <w:rPr>
                <w:rFonts w:ascii="Arial" w:hAnsi="Arial" w:cs="Arial"/>
                <w:color w:val="000000"/>
                <w:sz w:val="18"/>
                <w:szCs w:val="18"/>
              </w:rPr>
            </w:pPr>
            <w:r w:rsidRPr="002605E1">
              <w:rPr>
                <w:rFonts w:ascii="Arial" w:hAnsi="Arial" w:cs="Arial"/>
                <w:color w:val="000000"/>
                <w:sz w:val="18"/>
                <w:szCs w:val="18"/>
              </w:rPr>
              <w:t>2012</w:t>
            </w:r>
          </w:p>
        </w:tc>
      </w:tr>
      <w:tr w:rsidR="002605E1" w:rsidRPr="002605E1" w:rsidTr="002605E1">
        <w:trPr>
          <w:trHeight w:val="510"/>
        </w:trPr>
        <w:tc>
          <w:tcPr>
            <w:tcW w:w="1271" w:type="dxa"/>
            <w:tcBorders>
              <w:top w:val="nil"/>
              <w:left w:val="nil"/>
              <w:bottom w:val="single" w:sz="4" w:space="0" w:color="auto"/>
            </w:tcBorders>
            <w:shd w:val="clear" w:color="auto" w:fill="CFEEA0"/>
            <w:noWrap/>
            <w:vAlign w:val="bottom"/>
            <w:hideMark/>
          </w:tcPr>
          <w:p w:rsidR="002605E1" w:rsidRPr="002605E1" w:rsidRDefault="002605E1" w:rsidP="007F6653">
            <w:pPr>
              <w:rPr>
                <w:rFonts w:ascii="Arial" w:hAnsi="Arial" w:cs="Arial"/>
                <w:color w:val="000000"/>
                <w:sz w:val="18"/>
                <w:szCs w:val="18"/>
              </w:rPr>
            </w:pPr>
            <w:r w:rsidRPr="002605E1">
              <w:rPr>
                <w:rFonts w:ascii="Arial" w:hAnsi="Arial" w:cs="Arial"/>
                <w:color w:val="000000"/>
                <w:sz w:val="18"/>
                <w:szCs w:val="18"/>
              </w:rPr>
              <w:t> </w:t>
            </w:r>
          </w:p>
        </w:tc>
        <w:tc>
          <w:tcPr>
            <w:tcW w:w="709"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growth</w:t>
            </w:r>
            <w:r w:rsidRPr="002605E1">
              <w:rPr>
                <w:rFonts w:ascii="Arial" w:hAnsi="Arial" w:cs="Arial"/>
                <w:color w:val="000000"/>
                <w:sz w:val="18"/>
                <w:szCs w:val="18"/>
              </w:rPr>
              <w:t>, %</w:t>
            </w:r>
          </w:p>
        </w:tc>
        <w:tc>
          <w:tcPr>
            <w:tcW w:w="992"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difference</w:t>
            </w:r>
            <w:r w:rsidRPr="002605E1">
              <w:rPr>
                <w:rFonts w:ascii="Arial" w:hAnsi="Arial" w:cs="Arial"/>
                <w:color w:val="000000"/>
                <w:sz w:val="18"/>
                <w:szCs w:val="18"/>
              </w:rPr>
              <w:t xml:space="preserve">, </w:t>
            </w:r>
            <w:proofErr w:type="spellStart"/>
            <w:r w:rsidRPr="002605E1">
              <w:rPr>
                <w:rFonts w:ascii="Arial" w:hAnsi="Arial" w:cs="Arial"/>
                <w:color w:val="000000"/>
                <w:sz w:val="18"/>
                <w:szCs w:val="18"/>
              </w:rPr>
              <w:t>pp</w:t>
            </w:r>
            <w:proofErr w:type="spellEnd"/>
          </w:p>
        </w:tc>
        <w:tc>
          <w:tcPr>
            <w:tcW w:w="854"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growth</w:t>
            </w:r>
            <w:r w:rsidRPr="002605E1">
              <w:rPr>
                <w:rFonts w:ascii="Arial" w:hAnsi="Arial" w:cs="Arial"/>
                <w:color w:val="000000"/>
                <w:sz w:val="18"/>
                <w:szCs w:val="18"/>
              </w:rPr>
              <w:t>, %</w:t>
            </w:r>
          </w:p>
        </w:tc>
        <w:tc>
          <w:tcPr>
            <w:tcW w:w="974"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difference</w:t>
            </w:r>
            <w:r w:rsidRPr="002605E1">
              <w:rPr>
                <w:rFonts w:ascii="Arial" w:hAnsi="Arial" w:cs="Arial"/>
                <w:color w:val="000000"/>
                <w:sz w:val="18"/>
                <w:szCs w:val="18"/>
              </w:rPr>
              <w:t xml:space="preserve">, </w:t>
            </w:r>
            <w:proofErr w:type="spellStart"/>
            <w:r w:rsidRPr="002605E1">
              <w:rPr>
                <w:rFonts w:ascii="Arial" w:hAnsi="Arial" w:cs="Arial"/>
                <w:color w:val="000000"/>
                <w:sz w:val="18"/>
                <w:szCs w:val="18"/>
              </w:rPr>
              <w:t>pp</w:t>
            </w:r>
            <w:proofErr w:type="spellEnd"/>
          </w:p>
        </w:tc>
        <w:tc>
          <w:tcPr>
            <w:tcW w:w="701"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growth</w:t>
            </w:r>
            <w:r w:rsidRPr="002605E1">
              <w:rPr>
                <w:rFonts w:ascii="Arial" w:hAnsi="Arial" w:cs="Arial"/>
                <w:color w:val="000000"/>
                <w:sz w:val="18"/>
                <w:szCs w:val="18"/>
              </w:rPr>
              <w:t>, %</w:t>
            </w:r>
          </w:p>
        </w:tc>
        <w:tc>
          <w:tcPr>
            <w:tcW w:w="974"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difference</w:t>
            </w:r>
            <w:r w:rsidRPr="002605E1">
              <w:rPr>
                <w:rFonts w:ascii="Arial" w:hAnsi="Arial" w:cs="Arial"/>
                <w:color w:val="000000"/>
                <w:sz w:val="18"/>
                <w:szCs w:val="18"/>
              </w:rPr>
              <w:t xml:space="preserve">, </w:t>
            </w:r>
            <w:proofErr w:type="spellStart"/>
            <w:r w:rsidRPr="002605E1">
              <w:rPr>
                <w:rFonts w:ascii="Arial" w:hAnsi="Arial" w:cs="Arial"/>
                <w:color w:val="000000"/>
                <w:sz w:val="18"/>
                <w:szCs w:val="18"/>
              </w:rPr>
              <w:t>pp</w:t>
            </w:r>
            <w:proofErr w:type="spellEnd"/>
          </w:p>
        </w:tc>
        <w:tc>
          <w:tcPr>
            <w:tcW w:w="694"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growth</w:t>
            </w:r>
            <w:r w:rsidRPr="002605E1">
              <w:rPr>
                <w:rFonts w:ascii="Arial" w:hAnsi="Arial" w:cs="Arial"/>
                <w:color w:val="000000"/>
                <w:sz w:val="18"/>
                <w:szCs w:val="18"/>
              </w:rPr>
              <w:t>, %</w:t>
            </w:r>
          </w:p>
        </w:tc>
        <w:tc>
          <w:tcPr>
            <w:tcW w:w="974"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difference</w:t>
            </w:r>
            <w:r w:rsidRPr="002605E1">
              <w:rPr>
                <w:rFonts w:ascii="Arial" w:hAnsi="Arial" w:cs="Arial"/>
                <w:color w:val="000000"/>
                <w:sz w:val="18"/>
                <w:szCs w:val="18"/>
              </w:rPr>
              <w:t xml:space="preserve">, </w:t>
            </w:r>
            <w:proofErr w:type="spellStart"/>
            <w:r w:rsidRPr="002605E1">
              <w:rPr>
                <w:rFonts w:ascii="Arial" w:hAnsi="Arial" w:cs="Arial"/>
                <w:color w:val="000000"/>
                <w:sz w:val="18"/>
                <w:szCs w:val="18"/>
              </w:rPr>
              <w:t>pp</w:t>
            </w:r>
            <w:proofErr w:type="spellEnd"/>
          </w:p>
        </w:tc>
        <w:tc>
          <w:tcPr>
            <w:tcW w:w="679"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growth</w:t>
            </w:r>
            <w:r w:rsidRPr="002605E1">
              <w:rPr>
                <w:rFonts w:ascii="Arial" w:hAnsi="Arial" w:cs="Arial"/>
                <w:color w:val="000000"/>
                <w:sz w:val="18"/>
                <w:szCs w:val="18"/>
              </w:rPr>
              <w:t>, %</w:t>
            </w:r>
          </w:p>
        </w:tc>
        <w:tc>
          <w:tcPr>
            <w:tcW w:w="974" w:type="dxa"/>
            <w:tcBorders>
              <w:top w:val="nil"/>
              <w:bottom w:val="single" w:sz="4" w:space="0" w:color="auto"/>
            </w:tcBorders>
            <w:shd w:val="clear" w:color="auto" w:fill="CFEEA0"/>
            <w:vAlign w:val="bottom"/>
            <w:hideMark/>
          </w:tcPr>
          <w:p w:rsidR="002605E1" w:rsidRPr="002605E1" w:rsidRDefault="002605E1" w:rsidP="00E22B1B">
            <w:pPr>
              <w:jc w:val="right"/>
              <w:rPr>
                <w:rFonts w:ascii="Arial" w:hAnsi="Arial" w:cs="Arial"/>
                <w:color w:val="000000"/>
                <w:sz w:val="18"/>
                <w:szCs w:val="18"/>
              </w:rPr>
            </w:pPr>
            <w:r w:rsidRPr="002605E1">
              <w:rPr>
                <w:rFonts w:ascii="Arial" w:hAnsi="Arial" w:cs="Arial"/>
                <w:color w:val="000000"/>
                <w:sz w:val="18"/>
                <w:szCs w:val="18"/>
                <w:lang w:val="en-GB"/>
              </w:rPr>
              <w:t>difference</w:t>
            </w:r>
            <w:r w:rsidRPr="002605E1">
              <w:rPr>
                <w:rFonts w:ascii="Arial" w:hAnsi="Arial" w:cs="Arial"/>
                <w:color w:val="000000"/>
                <w:sz w:val="18"/>
                <w:szCs w:val="18"/>
              </w:rPr>
              <w:t xml:space="preserve">, </w:t>
            </w:r>
            <w:proofErr w:type="spellStart"/>
            <w:r w:rsidRPr="002605E1">
              <w:rPr>
                <w:rFonts w:ascii="Arial" w:hAnsi="Arial" w:cs="Arial"/>
                <w:color w:val="000000"/>
                <w:sz w:val="18"/>
                <w:szCs w:val="18"/>
              </w:rPr>
              <w:t>pp</w:t>
            </w:r>
            <w:proofErr w:type="spellEnd"/>
          </w:p>
        </w:tc>
      </w:tr>
      <w:tr w:rsidR="002605E1" w:rsidRPr="002605E1" w:rsidTr="002605E1">
        <w:trPr>
          <w:trHeight w:val="255"/>
        </w:trPr>
        <w:tc>
          <w:tcPr>
            <w:tcW w:w="1271" w:type="dxa"/>
            <w:tcBorders>
              <w:top w:val="nil"/>
              <w:left w:val="nil"/>
            </w:tcBorders>
            <w:shd w:val="clear" w:color="auto" w:fill="auto"/>
            <w:noWrap/>
            <w:vAlign w:val="bottom"/>
            <w:hideMark/>
          </w:tcPr>
          <w:p w:rsidR="002605E1" w:rsidRPr="002605E1" w:rsidRDefault="002605E1" w:rsidP="00B03396">
            <w:pPr>
              <w:rPr>
                <w:rFonts w:ascii="Arial" w:hAnsi="Arial" w:cs="Arial"/>
                <w:color w:val="000000"/>
                <w:sz w:val="18"/>
                <w:szCs w:val="18"/>
                <w:lang w:val="en-GB"/>
              </w:rPr>
            </w:pPr>
            <w:r w:rsidRPr="002605E1">
              <w:rPr>
                <w:rFonts w:ascii="Arial" w:hAnsi="Arial" w:cs="Arial"/>
                <w:color w:val="000000"/>
                <w:sz w:val="18"/>
                <w:szCs w:val="18"/>
                <w:lang w:val="en-GB"/>
              </w:rPr>
              <w:t>1st quarter</w:t>
            </w:r>
          </w:p>
        </w:tc>
        <w:tc>
          <w:tcPr>
            <w:tcW w:w="709"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–3,4</w:t>
            </w:r>
          </w:p>
        </w:tc>
        <w:tc>
          <w:tcPr>
            <w:tcW w:w="992"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–1,4</w:t>
            </w:r>
          </w:p>
        </w:tc>
        <w:tc>
          <w:tcPr>
            <w:tcW w:w="85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–11,6</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1,6</w:t>
            </w:r>
          </w:p>
        </w:tc>
        <w:tc>
          <w:tcPr>
            <w:tcW w:w="701"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–3,0</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1,2</w:t>
            </w:r>
          </w:p>
        </w:tc>
        <w:tc>
          <w:tcPr>
            <w:tcW w:w="69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9,9</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0,4</w:t>
            </w:r>
          </w:p>
        </w:tc>
        <w:tc>
          <w:tcPr>
            <w:tcW w:w="679"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3,4</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–0,1</w:t>
            </w:r>
          </w:p>
        </w:tc>
      </w:tr>
      <w:tr w:rsidR="002605E1" w:rsidRPr="002605E1" w:rsidTr="002605E1">
        <w:trPr>
          <w:trHeight w:val="255"/>
        </w:trPr>
        <w:tc>
          <w:tcPr>
            <w:tcW w:w="1271" w:type="dxa"/>
            <w:tcBorders>
              <w:top w:val="nil"/>
              <w:left w:val="nil"/>
              <w:bottom w:val="nil"/>
            </w:tcBorders>
            <w:shd w:val="clear" w:color="000000" w:fill="CFEEA0"/>
            <w:noWrap/>
            <w:vAlign w:val="bottom"/>
            <w:hideMark/>
          </w:tcPr>
          <w:p w:rsidR="002605E1" w:rsidRPr="002605E1" w:rsidRDefault="002605E1" w:rsidP="00B03396">
            <w:pPr>
              <w:rPr>
                <w:rFonts w:ascii="Arial" w:hAnsi="Arial" w:cs="Arial"/>
                <w:color w:val="000000"/>
                <w:sz w:val="18"/>
                <w:szCs w:val="18"/>
                <w:lang w:val="en-GB"/>
              </w:rPr>
            </w:pPr>
            <w:r w:rsidRPr="002605E1">
              <w:rPr>
                <w:rFonts w:ascii="Arial" w:hAnsi="Arial" w:cs="Arial"/>
                <w:color w:val="000000"/>
                <w:sz w:val="18"/>
                <w:szCs w:val="18"/>
                <w:lang w:val="en-GB"/>
              </w:rPr>
              <w:t>2nd quarter</w:t>
            </w:r>
          </w:p>
        </w:tc>
        <w:tc>
          <w:tcPr>
            <w:tcW w:w="709"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–1,2</w:t>
            </w:r>
          </w:p>
        </w:tc>
        <w:tc>
          <w:tcPr>
            <w:tcW w:w="992"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–0,4</w:t>
            </w:r>
          </w:p>
        </w:tc>
        <w:tc>
          <w:tcPr>
            <w:tcW w:w="85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–16,1</w:t>
            </w:r>
          </w:p>
        </w:tc>
        <w:tc>
          <w:tcPr>
            <w:tcW w:w="97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1,0</w:t>
            </w:r>
          </w:p>
        </w:tc>
        <w:tc>
          <w:tcPr>
            <w:tcW w:w="701"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3,3</w:t>
            </w:r>
          </w:p>
        </w:tc>
        <w:tc>
          <w:tcPr>
            <w:tcW w:w="97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0,8</w:t>
            </w:r>
          </w:p>
        </w:tc>
        <w:tc>
          <w:tcPr>
            <w:tcW w:w="69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8,3</w:t>
            </w:r>
          </w:p>
        </w:tc>
        <w:tc>
          <w:tcPr>
            <w:tcW w:w="97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–0,1</w:t>
            </w:r>
          </w:p>
        </w:tc>
        <w:tc>
          <w:tcPr>
            <w:tcW w:w="679" w:type="dxa"/>
            <w:tcBorders>
              <w:top w:val="nil"/>
              <w:bottom w:val="nil"/>
            </w:tcBorders>
            <w:shd w:val="clear" w:color="000000" w:fill="CFEEA0"/>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c>
          <w:tcPr>
            <w:tcW w:w="974" w:type="dxa"/>
            <w:tcBorders>
              <w:top w:val="nil"/>
              <w:bottom w:val="nil"/>
            </w:tcBorders>
            <w:shd w:val="clear" w:color="000000" w:fill="CFEEA0"/>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r>
      <w:tr w:rsidR="002605E1" w:rsidRPr="002605E1" w:rsidTr="002605E1">
        <w:trPr>
          <w:trHeight w:val="255"/>
        </w:trPr>
        <w:tc>
          <w:tcPr>
            <w:tcW w:w="1271" w:type="dxa"/>
            <w:tcBorders>
              <w:top w:val="nil"/>
              <w:left w:val="nil"/>
            </w:tcBorders>
            <w:shd w:val="clear" w:color="auto" w:fill="auto"/>
            <w:noWrap/>
            <w:vAlign w:val="bottom"/>
            <w:hideMark/>
          </w:tcPr>
          <w:p w:rsidR="002605E1" w:rsidRPr="002605E1" w:rsidRDefault="002605E1" w:rsidP="00B03396">
            <w:pPr>
              <w:rPr>
                <w:rFonts w:ascii="Arial" w:hAnsi="Arial" w:cs="Arial"/>
                <w:color w:val="000000"/>
                <w:sz w:val="18"/>
                <w:szCs w:val="18"/>
                <w:lang w:val="en-GB"/>
              </w:rPr>
            </w:pPr>
            <w:r w:rsidRPr="002605E1">
              <w:rPr>
                <w:rFonts w:ascii="Arial" w:hAnsi="Arial" w:cs="Arial"/>
                <w:color w:val="000000"/>
                <w:sz w:val="18"/>
                <w:szCs w:val="18"/>
                <w:lang w:val="en-GB"/>
              </w:rPr>
              <w:t>3rd quarter</w:t>
            </w:r>
          </w:p>
        </w:tc>
        <w:tc>
          <w:tcPr>
            <w:tcW w:w="709"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–1,8</w:t>
            </w:r>
          </w:p>
        </w:tc>
        <w:tc>
          <w:tcPr>
            <w:tcW w:w="992"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0,2</w:t>
            </w:r>
          </w:p>
        </w:tc>
        <w:tc>
          <w:tcPr>
            <w:tcW w:w="85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–18,6</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–1,0</w:t>
            </w:r>
          </w:p>
        </w:tc>
        <w:tc>
          <w:tcPr>
            <w:tcW w:w="701"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5,2</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0,7</w:t>
            </w:r>
          </w:p>
        </w:tc>
        <w:tc>
          <w:tcPr>
            <w:tcW w:w="69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9,3</w:t>
            </w:r>
          </w:p>
        </w:tc>
        <w:tc>
          <w:tcPr>
            <w:tcW w:w="974" w:type="dxa"/>
            <w:tcBorders>
              <w:top w:val="nil"/>
            </w:tcBorders>
            <w:shd w:val="clear" w:color="auto" w:fill="auto"/>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0,8</w:t>
            </w:r>
          </w:p>
        </w:tc>
        <w:tc>
          <w:tcPr>
            <w:tcW w:w="679" w:type="dxa"/>
            <w:tcBorders>
              <w:top w:val="nil"/>
            </w:tcBorders>
            <w:shd w:val="clear" w:color="auto" w:fill="auto"/>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c>
          <w:tcPr>
            <w:tcW w:w="974" w:type="dxa"/>
            <w:tcBorders>
              <w:top w:val="nil"/>
            </w:tcBorders>
            <w:shd w:val="clear" w:color="auto" w:fill="auto"/>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r>
      <w:tr w:rsidR="002605E1" w:rsidRPr="002605E1" w:rsidTr="002605E1">
        <w:trPr>
          <w:trHeight w:val="255"/>
        </w:trPr>
        <w:tc>
          <w:tcPr>
            <w:tcW w:w="1271" w:type="dxa"/>
            <w:tcBorders>
              <w:top w:val="nil"/>
              <w:left w:val="nil"/>
              <w:bottom w:val="nil"/>
            </w:tcBorders>
            <w:shd w:val="clear" w:color="000000" w:fill="CFEEA0"/>
            <w:noWrap/>
            <w:vAlign w:val="bottom"/>
            <w:hideMark/>
          </w:tcPr>
          <w:p w:rsidR="002605E1" w:rsidRPr="002605E1" w:rsidRDefault="002605E1" w:rsidP="00B03396">
            <w:pPr>
              <w:rPr>
                <w:rFonts w:ascii="Arial" w:hAnsi="Arial" w:cs="Arial"/>
                <w:color w:val="000000"/>
                <w:sz w:val="18"/>
                <w:szCs w:val="18"/>
                <w:lang w:val="en-GB"/>
              </w:rPr>
            </w:pPr>
            <w:r w:rsidRPr="002605E1">
              <w:rPr>
                <w:rFonts w:ascii="Arial" w:hAnsi="Arial" w:cs="Arial"/>
                <w:color w:val="000000"/>
                <w:sz w:val="18"/>
                <w:szCs w:val="18"/>
                <w:lang w:val="en-GB"/>
              </w:rPr>
              <w:t>4th quarter</w:t>
            </w:r>
          </w:p>
        </w:tc>
        <w:tc>
          <w:tcPr>
            <w:tcW w:w="709"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–10,0</w:t>
            </w:r>
          </w:p>
        </w:tc>
        <w:tc>
          <w:tcPr>
            <w:tcW w:w="992"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–0,3</w:t>
            </w:r>
          </w:p>
        </w:tc>
        <w:tc>
          <w:tcPr>
            <w:tcW w:w="85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–9,5</w:t>
            </w:r>
          </w:p>
        </w:tc>
        <w:tc>
          <w:tcPr>
            <w:tcW w:w="97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–0,8</w:t>
            </w:r>
          </w:p>
        </w:tc>
        <w:tc>
          <w:tcPr>
            <w:tcW w:w="701"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7,6</w:t>
            </w:r>
          </w:p>
        </w:tc>
        <w:tc>
          <w:tcPr>
            <w:tcW w:w="97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1,6</w:t>
            </w:r>
          </w:p>
        </w:tc>
        <w:tc>
          <w:tcPr>
            <w:tcW w:w="69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5,9</w:t>
            </w:r>
          </w:p>
        </w:tc>
        <w:tc>
          <w:tcPr>
            <w:tcW w:w="974" w:type="dxa"/>
            <w:tcBorders>
              <w:top w:val="nil"/>
              <w:bottom w:val="nil"/>
            </w:tcBorders>
            <w:shd w:val="clear" w:color="000000" w:fill="CFEEA0"/>
            <w:noWrap/>
            <w:vAlign w:val="bottom"/>
            <w:hideMark/>
          </w:tcPr>
          <w:p w:rsidR="002605E1" w:rsidRPr="002605E1" w:rsidRDefault="002605E1" w:rsidP="007F6653">
            <w:pPr>
              <w:jc w:val="right"/>
              <w:rPr>
                <w:rFonts w:ascii="Arial" w:hAnsi="Arial" w:cs="Arial"/>
                <w:color w:val="000000"/>
                <w:sz w:val="20"/>
                <w:szCs w:val="20"/>
              </w:rPr>
            </w:pPr>
            <w:r w:rsidRPr="002605E1">
              <w:rPr>
                <w:rFonts w:ascii="Arial" w:hAnsi="Arial" w:cs="Arial"/>
                <w:color w:val="000000"/>
                <w:sz w:val="20"/>
                <w:szCs w:val="20"/>
              </w:rPr>
              <w:t>1,4</w:t>
            </w:r>
          </w:p>
        </w:tc>
        <w:tc>
          <w:tcPr>
            <w:tcW w:w="679" w:type="dxa"/>
            <w:tcBorders>
              <w:top w:val="nil"/>
              <w:bottom w:val="nil"/>
            </w:tcBorders>
            <w:shd w:val="clear" w:color="000000" w:fill="CFEEA0"/>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c>
          <w:tcPr>
            <w:tcW w:w="974" w:type="dxa"/>
            <w:tcBorders>
              <w:top w:val="nil"/>
              <w:bottom w:val="nil"/>
            </w:tcBorders>
            <w:shd w:val="clear" w:color="000000" w:fill="CFEEA0"/>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r>
      <w:tr w:rsidR="002605E1" w:rsidRPr="002605E1" w:rsidTr="002605E1">
        <w:trPr>
          <w:trHeight w:val="255"/>
        </w:trPr>
        <w:tc>
          <w:tcPr>
            <w:tcW w:w="1271" w:type="dxa"/>
            <w:tcBorders>
              <w:top w:val="nil"/>
              <w:left w:val="nil"/>
              <w:bottom w:val="nil"/>
            </w:tcBorders>
            <w:shd w:val="clear" w:color="auto" w:fill="auto"/>
            <w:noWrap/>
            <w:vAlign w:val="bottom"/>
            <w:hideMark/>
          </w:tcPr>
          <w:p w:rsidR="002605E1" w:rsidRPr="002605E1" w:rsidRDefault="002605E1" w:rsidP="007F6653">
            <w:pPr>
              <w:rPr>
                <w:rFonts w:ascii="Arial" w:hAnsi="Arial" w:cs="Arial"/>
                <w:b/>
                <w:bCs/>
                <w:color w:val="000000"/>
                <w:sz w:val="18"/>
                <w:szCs w:val="18"/>
              </w:rPr>
            </w:pPr>
            <w:r w:rsidRPr="002605E1">
              <w:rPr>
                <w:rFonts w:ascii="Arial" w:hAnsi="Arial" w:cs="Arial"/>
                <w:b/>
                <w:bCs/>
                <w:color w:val="000000"/>
                <w:sz w:val="18"/>
                <w:szCs w:val="18"/>
                <w:lang w:val="en-GB"/>
              </w:rPr>
              <w:t>Annual</w:t>
            </w:r>
          </w:p>
        </w:tc>
        <w:tc>
          <w:tcPr>
            <w:tcW w:w="709"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–4,2</w:t>
            </w:r>
          </w:p>
        </w:tc>
        <w:tc>
          <w:tcPr>
            <w:tcW w:w="992"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–0,5</w:t>
            </w:r>
          </w:p>
        </w:tc>
        <w:tc>
          <w:tcPr>
            <w:tcW w:w="854"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–14,1</w:t>
            </w:r>
          </w:p>
        </w:tc>
        <w:tc>
          <w:tcPr>
            <w:tcW w:w="974"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0,2</w:t>
            </w:r>
          </w:p>
        </w:tc>
        <w:tc>
          <w:tcPr>
            <w:tcW w:w="701"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3,3</w:t>
            </w:r>
          </w:p>
        </w:tc>
        <w:tc>
          <w:tcPr>
            <w:tcW w:w="974"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1,1</w:t>
            </w:r>
          </w:p>
        </w:tc>
        <w:tc>
          <w:tcPr>
            <w:tcW w:w="694"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8,3</w:t>
            </w:r>
          </w:p>
        </w:tc>
        <w:tc>
          <w:tcPr>
            <w:tcW w:w="974" w:type="dxa"/>
            <w:tcBorders>
              <w:top w:val="nil"/>
              <w:bottom w:val="nil"/>
            </w:tcBorders>
            <w:shd w:val="clear" w:color="auto" w:fill="auto"/>
            <w:noWrap/>
            <w:vAlign w:val="bottom"/>
            <w:hideMark/>
          </w:tcPr>
          <w:p w:rsidR="002605E1" w:rsidRPr="002605E1" w:rsidRDefault="002605E1" w:rsidP="007F6653">
            <w:pPr>
              <w:jc w:val="right"/>
              <w:rPr>
                <w:rFonts w:ascii="Arial" w:hAnsi="Arial" w:cs="Arial"/>
                <w:b/>
                <w:bCs/>
                <w:color w:val="000000"/>
                <w:sz w:val="20"/>
                <w:szCs w:val="20"/>
              </w:rPr>
            </w:pPr>
            <w:r w:rsidRPr="002605E1">
              <w:rPr>
                <w:rFonts w:ascii="Arial" w:hAnsi="Arial" w:cs="Arial"/>
                <w:b/>
                <w:bCs/>
                <w:color w:val="000000"/>
                <w:sz w:val="20"/>
                <w:szCs w:val="20"/>
              </w:rPr>
              <w:t>0,6</w:t>
            </w:r>
          </w:p>
        </w:tc>
        <w:tc>
          <w:tcPr>
            <w:tcW w:w="679" w:type="dxa"/>
            <w:tcBorders>
              <w:top w:val="nil"/>
              <w:bottom w:val="nil"/>
            </w:tcBorders>
            <w:shd w:val="clear" w:color="auto" w:fill="auto"/>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c>
          <w:tcPr>
            <w:tcW w:w="974" w:type="dxa"/>
            <w:tcBorders>
              <w:top w:val="nil"/>
              <w:bottom w:val="nil"/>
            </w:tcBorders>
            <w:shd w:val="clear" w:color="auto" w:fill="auto"/>
            <w:noWrap/>
            <w:vAlign w:val="bottom"/>
            <w:hideMark/>
          </w:tcPr>
          <w:p w:rsidR="002605E1" w:rsidRPr="002605E1" w:rsidRDefault="002605E1" w:rsidP="007F6653">
            <w:pPr>
              <w:rPr>
                <w:rFonts w:ascii="Arial" w:hAnsi="Arial" w:cs="Arial"/>
                <w:color w:val="000000"/>
                <w:sz w:val="20"/>
                <w:szCs w:val="20"/>
              </w:rPr>
            </w:pPr>
            <w:r w:rsidRPr="002605E1">
              <w:rPr>
                <w:rFonts w:ascii="Arial" w:hAnsi="Arial" w:cs="Arial"/>
                <w:color w:val="000000"/>
                <w:sz w:val="20"/>
                <w:szCs w:val="20"/>
              </w:rPr>
              <w:t> </w:t>
            </w:r>
          </w:p>
        </w:tc>
      </w:tr>
    </w:tbl>
    <w:p w:rsidR="00F9414E" w:rsidRPr="002605E1" w:rsidRDefault="00F9414E" w:rsidP="00E22B1B">
      <w:pPr>
        <w:autoSpaceDE w:val="0"/>
        <w:autoSpaceDN w:val="0"/>
        <w:adjustRightInd w:val="0"/>
        <w:spacing w:after="120"/>
        <w:rPr>
          <w:rFonts w:ascii="Arial" w:hAnsi="Arial" w:cs="Arial"/>
          <w:b/>
          <w:bCs/>
          <w:color w:val="B32F16"/>
          <w:sz w:val="18"/>
          <w:szCs w:val="18"/>
        </w:rPr>
      </w:pPr>
    </w:p>
    <w:p w:rsidR="002605E1" w:rsidRDefault="002605E1" w:rsidP="00E22B1B">
      <w:pPr>
        <w:autoSpaceDE w:val="0"/>
        <w:autoSpaceDN w:val="0"/>
        <w:adjustRightInd w:val="0"/>
        <w:spacing w:after="120"/>
        <w:rPr>
          <w:rFonts w:ascii="Arial-BoldMT" w:hAnsi="Arial-BoldMT" w:cs="Arial-BoldMT"/>
          <w:b/>
          <w:bCs/>
          <w:color w:val="B32F16"/>
          <w:sz w:val="20"/>
          <w:szCs w:val="20"/>
          <w:lang w:val="en-GB"/>
        </w:rPr>
      </w:pPr>
    </w:p>
    <w:p w:rsidR="00F2347C" w:rsidRPr="00841F3B" w:rsidRDefault="002605E1" w:rsidP="00E22B1B">
      <w:pPr>
        <w:autoSpaceDE w:val="0"/>
        <w:autoSpaceDN w:val="0"/>
        <w:adjustRightInd w:val="0"/>
        <w:spacing w:after="120"/>
        <w:rPr>
          <w:rFonts w:ascii="Arial" w:hAnsi="Arial" w:cs="Arial"/>
          <w:color w:val="B22F16"/>
          <w:sz w:val="20"/>
          <w:szCs w:val="20"/>
        </w:rPr>
      </w:pPr>
      <w:proofErr w:type="gramStart"/>
      <w:r w:rsidRPr="00876D12">
        <w:rPr>
          <w:rFonts w:ascii="Arial-BoldMT" w:hAnsi="Arial-BoldMT" w:cs="Arial-BoldMT"/>
          <w:b/>
          <w:bCs/>
          <w:color w:val="B32F16"/>
          <w:sz w:val="20"/>
          <w:szCs w:val="20"/>
          <w:lang w:val="en-GB"/>
        </w:rPr>
        <w:lastRenderedPageBreak/>
        <w:t>Figure 1.</w:t>
      </w:r>
      <w:proofErr w:type="gramEnd"/>
      <w:r w:rsidRPr="00876D12">
        <w:rPr>
          <w:rFonts w:ascii="Arial-BoldMT" w:hAnsi="Arial-BoldMT" w:cs="Arial-BoldMT"/>
          <w:b/>
          <w:bCs/>
          <w:color w:val="B32F16"/>
          <w:sz w:val="20"/>
          <w:szCs w:val="20"/>
          <w:lang w:val="en-GB"/>
        </w:rPr>
        <w:t xml:space="preserve"> GDP real growth before and after revision, 1st quarter 2008</w:t>
      </w:r>
      <w:r>
        <w:rPr>
          <w:rFonts w:ascii="Arial-BoldMT" w:hAnsi="Arial-BoldMT" w:cs="Arial-BoldMT"/>
          <w:b/>
          <w:bCs/>
          <w:color w:val="B32F16"/>
          <w:sz w:val="20"/>
          <w:szCs w:val="20"/>
          <w:lang w:val="en-GB"/>
        </w:rPr>
        <w:t xml:space="preserve"> – </w:t>
      </w:r>
      <w:r w:rsidRPr="00876D12">
        <w:rPr>
          <w:rFonts w:ascii="Arial-BoldMT" w:hAnsi="Arial-BoldMT" w:cs="Arial-BoldMT"/>
          <w:b/>
          <w:bCs/>
          <w:color w:val="B32F16"/>
          <w:sz w:val="20"/>
          <w:szCs w:val="20"/>
          <w:lang w:val="en-GB"/>
        </w:rPr>
        <w:t>1st quarter 2012</w:t>
      </w:r>
    </w:p>
    <w:p w:rsidR="00F2347C" w:rsidRDefault="002605E1" w:rsidP="006955EE">
      <w:pPr>
        <w:autoSpaceDE w:val="0"/>
        <w:autoSpaceDN w:val="0"/>
        <w:adjustRightInd w:val="0"/>
        <w:rPr>
          <w:rFonts w:ascii="Arial" w:hAnsi="Arial" w:cs="Arial"/>
          <w:color w:val="000000"/>
          <w:sz w:val="20"/>
          <w:szCs w:val="20"/>
        </w:rPr>
      </w:pPr>
      <w:r>
        <w:rPr>
          <w:rFonts w:ascii="Arial" w:hAnsi="Arial" w:cs="Arial"/>
          <w:noProof/>
          <w:color w:val="000000"/>
          <w:sz w:val="20"/>
          <w:szCs w:val="20"/>
        </w:rPr>
        <w:drawing>
          <wp:inline distT="0" distB="0" distL="0" distR="0">
            <wp:extent cx="4251969" cy="1901956"/>
            <wp:effectExtent l="19050" t="0" r="0" b="0"/>
            <wp:docPr id="1" name="Picture 0" descr="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png"/>
                    <pic:cNvPicPr/>
                  </pic:nvPicPr>
                  <pic:blipFill>
                    <a:blip r:embed="rId6" cstate="print"/>
                    <a:stretch>
                      <a:fillRect/>
                    </a:stretch>
                  </pic:blipFill>
                  <pic:spPr>
                    <a:xfrm>
                      <a:off x="0" y="0"/>
                      <a:ext cx="4251969" cy="1901956"/>
                    </a:xfrm>
                    <a:prstGeom prst="rect">
                      <a:avLst/>
                    </a:prstGeom>
                  </pic:spPr>
                </pic:pic>
              </a:graphicData>
            </a:graphic>
          </wp:inline>
        </w:drawing>
      </w:r>
    </w:p>
    <w:p w:rsidR="00F2347C" w:rsidRDefault="00F2347C" w:rsidP="006955EE">
      <w:pPr>
        <w:autoSpaceDE w:val="0"/>
        <w:autoSpaceDN w:val="0"/>
        <w:adjustRightInd w:val="0"/>
        <w:rPr>
          <w:rFonts w:ascii="Arial" w:hAnsi="Arial" w:cs="Arial"/>
          <w:color w:val="000000"/>
          <w:sz w:val="20"/>
          <w:szCs w:val="20"/>
        </w:rPr>
      </w:pPr>
    </w:p>
    <w:p w:rsidR="00795796" w:rsidRDefault="00795796" w:rsidP="006955EE">
      <w:pPr>
        <w:autoSpaceDE w:val="0"/>
        <w:autoSpaceDN w:val="0"/>
        <w:adjustRightInd w:val="0"/>
        <w:rPr>
          <w:rFonts w:ascii="Arial" w:hAnsi="Arial" w:cs="Arial"/>
          <w:color w:val="000000"/>
          <w:sz w:val="20"/>
          <w:szCs w:val="20"/>
        </w:rPr>
      </w:pPr>
    </w:p>
    <w:p w:rsidR="00795796" w:rsidRDefault="00795796" w:rsidP="006955EE">
      <w:pPr>
        <w:autoSpaceDE w:val="0"/>
        <w:autoSpaceDN w:val="0"/>
        <w:adjustRightInd w:val="0"/>
        <w:rPr>
          <w:rFonts w:ascii="Arial" w:hAnsi="Arial" w:cs="Arial"/>
          <w:color w:val="000000"/>
          <w:sz w:val="20"/>
          <w:szCs w:val="20"/>
        </w:rPr>
      </w:pPr>
    </w:p>
    <w:p w:rsidR="00795796" w:rsidRDefault="00795796" w:rsidP="006955EE">
      <w:pPr>
        <w:autoSpaceDE w:val="0"/>
        <w:autoSpaceDN w:val="0"/>
        <w:adjustRightInd w:val="0"/>
        <w:rPr>
          <w:rFonts w:ascii="Arial" w:hAnsi="Arial" w:cs="Arial"/>
          <w:color w:val="000000"/>
          <w:sz w:val="20"/>
          <w:szCs w:val="20"/>
        </w:rPr>
      </w:pPr>
    </w:p>
    <w:p w:rsidR="002605E1" w:rsidRPr="00B1755E" w:rsidRDefault="002605E1" w:rsidP="002605E1">
      <w:pPr>
        <w:autoSpaceDE w:val="0"/>
        <w:autoSpaceDN w:val="0"/>
        <w:adjustRightInd w:val="0"/>
        <w:rPr>
          <w:rFonts w:ascii="ArialMT" w:hAnsi="ArialMT" w:cs="ArialMT"/>
          <w:color w:val="000000"/>
          <w:sz w:val="20"/>
          <w:szCs w:val="20"/>
          <w:lang w:val="en-GB"/>
        </w:rPr>
      </w:pPr>
      <w:proofErr w:type="spellStart"/>
      <w:r w:rsidRPr="00876D12">
        <w:rPr>
          <w:rFonts w:ascii="ArialMT" w:hAnsi="ArialMT" w:cs="ArialMT"/>
          <w:color w:val="000000"/>
          <w:sz w:val="20"/>
          <w:szCs w:val="20"/>
          <w:lang w:val="en-GB"/>
        </w:rPr>
        <w:t>Tõnu</w:t>
      </w:r>
      <w:proofErr w:type="spellEnd"/>
      <w:r w:rsidRPr="00876D12">
        <w:rPr>
          <w:rFonts w:ascii="ArialMT" w:hAnsi="ArialMT" w:cs="ArialMT"/>
          <w:color w:val="000000"/>
          <w:sz w:val="20"/>
          <w:szCs w:val="20"/>
          <w:lang w:val="en-GB"/>
        </w:rPr>
        <w:t xml:space="preserve"> </w:t>
      </w:r>
      <w:proofErr w:type="spellStart"/>
      <w:r w:rsidRPr="00876D12">
        <w:rPr>
          <w:rFonts w:ascii="ArialMT" w:hAnsi="ArialMT" w:cs="ArialMT"/>
          <w:color w:val="000000"/>
          <w:sz w:val="20"/>
          <w:szCs w:val="20"/>
          <w:lang w:val="en-GB"/>
        </w:rPr>
        <w:t>Mertsina</w:t>
      </w:r>
      <w:proofErr w:type="spellEnd"/>
    </w:p>
    <w:p w:rsidR="002605E1" w:rsidRPr="00B1755E" w:rsidRDefault="002605E1" w:rsidP="002605E1">
      <w:pPr>
        <w:autoSpaceDE w:val="0"/>
        <w:autoSpaceDN w:val="0"/>
        <w:adjustRightInd w:val="0"/>
        <w:rPr>
          <w:rFonts w:ascii="ArialMT" w:hAnsi="ArialMT" w:cs="ArialMT"/>
          <w:color w:val="000000"/>
          <w:sz w:val="20"/>
          <w:szCs w:val="20"/>
          <w:lang w:val="en-GB"/>
        </w:rPr>
      </w:pPr>
      <w:r w:rsidRPr="00876D12">
        <w:rPr>
          <w:rFonts w:ascii="ArialMT" w:hAnsi="ArialMT" w:cs="ArialMT"/>
          <w:color w:val="000000"/>
          <w:sz w:val="20"/>
          <w:szCs w:val="20"/>
          <w:lang w:val="en-GB"/>
        </w:rPr>
        <w:t>Head of National Accounts Service</w:t>
      </w:r>
    </w:p>
    <w:p w:rsidR="002605E1" w:rsidRPr="00B1755E" w:rsidRDefault="002605E1" w:rsidP="002605E1">
      <w:pPr>
        <w:autoSpaceDE w:val="0"/>
        <w:autoSpaceDN w:val="0"/>
        <w:adjustRightInd w:val="0"/>
        <w:rPr>
          <w:rFonts w:ascii="ArialMT" w:hAnsi="ArialMT" w:cs="ArialMT"/>
          <w:color w:val="000000"/>
          <w:sz w:val="20"/>
          <w:szCs w:val="20"/>
          <w:lang w:val="en-GB"/>
        </w:rPr>
      </w:pPr>
      <w:r w:rsidRPr="00876D12">
        <w:rPr>
          <w:rFonts w:ascii="ArialMT" w:hAnsi="ArialMT" w:cs="ArialMT"/>
          <w:color w:val="000000"/>
          <w:sz w:val="20"/>
          <w:szCs w:val="20"/>
          <w:lang w:val="en-GB"/>
        </w:rPr>
        <w:t>Statistics Estonia</w:t>
      </w:r>
    </w:p>
    <w:p w:rsidR="002605E1" w:rsidRPr="00B1755E" w:rsidRDefault="002605E1" w:rsidP="002605E1">
      <w:pPr>
        <w:autoSpaceDE w:val="0"/>
        <w:autoSpaceDN w:val="0"/>
        <w:adjustRightInd w:val="0"/>
        <w:rPr>
          <w:rFonts w:ascii="ArialMT" w:hAnsi="ArialMT" w:cs="ArialMT"/>
          <w:color w:val="000000"/>
          <w:sz w:val="20"/>
          <w:szCs w:val="20"/>
          <w:lang w:val="en-GB"/>
        </w:rPr>
      </w:pPr>
      <w:r w:rsidRPr="00876D12">
        <w:rPr>
          <w:rFonts w:ascii="ArialMT" w:hAnsi="ArialMT" w:cs="ArialMT"/>
          <w:color w:val="000000"/>
          <w:sz w:val="20"/>
          <w:szCs w:val="20"/>
          <w:lang w:val="en-GB"/>
        </w:rPr>
        <w:t>Tel +372 625 9353</w:t>
      </w:r>
    </w:p>
    <w:p w:rsidR="002605E1" w:rsidRPr="00B1755E" w:rsidRDefault="002605E1" w:rsidP="002605E1">
      <w:pPr>
        <w:autoSpaceDE w:val="0"/>
        <w:autoSpaceDN w:val="0"/>
        <w:adjustRightInd w:val="0"/>
        <w:rPr>
          <w:rFonts w:ascii="ArialMT" w:hAnsi="ArialMT" w:cs="ArialMT"/>
          <w:color w:val="0000FF"/>
          <w:sz w:val="20"/>
          <w:szCs w:val="20"/>
          <w:lang w:val="en-GB"/>
        </w:rPr>
      </w:pPr>
      <w:proofErr w:type="gramStart"/>
      <w:r w:rsidRPr="00876D12">
        <w:rPr>
          <w:rFonts w:ascii="ArialMT" w:hAnsi="ArialMT" w:cs="ArialMT"/>
          <w:color w:val="000000"/>
          <w:sz w:val="20"/>
          <w:szCs w:val="20"/>
          <w:lang w:val="en-GB"/>
        </w:rPr>
        <w:t>e-mail</w:t>
      </w:r>
      <w:proofErr w:type="gramEnd"/>
      <w:r w:rsidRPr="00876D12">
        <w:rPr>
          <w:rFonts w:ascii="ArialMT" w:hAnsi="ArialMT" w:cs="ArialMT"/>
          <w:color w:val="000000"/>
          <w:sz w:val="20"/>
          <w:szCs w:val="20"/>
          <w:lang w:val="en-GB"/>
        </w:rPr>
        <w:t xml:space="preserve">: </w:t>
      </w:r>
      <w:r w:rsidRPr="00876D12">
        <w:rPr>
          <w:rFonts w:ascii="ArialMT" w:hAnsi="ArialMT" w:cs="ArialMT"/>
          <w:color w:val="0000FF"/>
          <w:sz w:val="20"/>
          <w:szCs w:val="20"/>
          <w:lang w:val="en-GB"/>
        </w:rPr>
        <w:t>tonu.mertsina@stat.ee</w:t>
      </w:r>
    </w:p>
    <w:p w:rsidR="00B15D10" w:rsidRDefault="002605E1" w:rsidP="002605E1">
      <w:pPr>
        <w:rPr>
          <w:rFonts w:ascii="Arial" w:hAnsi="Arial" w:cs="Arial"/>
          <w:color w:val="000000"/>
          <w:sz w:val="20"/>
          <w:szCs w:val="20"/>
        </w:rPr>
      </w:pPr>
      <w:r w:rsidRPr="00876D12">
        <w:rPr>
          <w:rFonts w:ascii="ArialMT" w:hAnsi="ArialMT" w:cs="ArialMT"/>
          <w:color w:val="000000"/>
          <w:sz w:val="20"/>
          <w:szCs w:val="20"/>
          <w:lang w:val="en-GB"/>
        </w:rPr>
        <w:t>7 September 2012</w:t>
      </w:r>
    </w:p>
    <w:p w:rsidR="00E2752E" w:rsidRDefault="00E2752E" w:rsidP="006955EE">
      <w:pPr>
        <w:rPr>
          <w:rFonts w:ascii="Arial" w:hAnsi="Arial" w:cs="Arial"/>
          <w:color w:val="000000"/>
          <w:sz w:val="20"/>
          <w:szCs w:val="20"/>
        </w:rPr>
      </w:pPr>
    </w:p>
    <w:p w:rsidR="00E2752E" w:rsidRDefault="00E2752E">
      <w:pPr>
        <w:rPr>
          <w:rFonts w:ascii="Arial" w:hAnsi="Arial" w:cs="Arial"/>
          <w:color w:val="000000"/>
          <w:sz w:val="20"/>
          <w:szCs w:val="20"/>
        </w:rPr>
      </w:pPr>
    </w:p>
    <w:sectPr w:rsidR="00E2752E" w:rsidSect="007025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embedSystemFonts/>
  <w:proofState w:spelling="clean" w:grammar="clean"/>
  <w:stylePaneFormatFilter w:val="3F01"/>
  <w:defaultTabStop w:val="708"/>
  <w:hyphenationZone w:val="425"/>
  <w:characterSpacingControl w:val="doNotCompress"/>
  <w:compat/>
  <w:docVars>
    <w:docVar w:name="_AMO_XmlVersion" w:val="Empty"/>
  </w:docVars>
  <w:rsids>
    <w:rsidRoot w:val="006955EE"/>
    <w:rsid w:val="00007C01"/>
    <w:rsid w:val="00010A15"/>
    <w:rsid w:val="000142FB"/>
    <w:rsid w:val="00036F7B"/>
    <w:rsid w:val="00044A13"/>
    <w:rsid w:val="00057446"/>
    <w:rsid w:val="00071D25"/>
    <w:rsid w:val="00071DD5"/>
    <w:rsid w:val="00074987"/>
    <w:rsid w:val="00074D49"/>
    <w:rsid w:val="000A58E3"/>
    <w:rsid w:val="000A7524"/>
    <w:rsid w:val="000B5D2A"/>
    <w:rsid w:val="000C446F"/>
    <w:rsid w:val="001178A5"/>
    <w:rsid w:val="0012288B"/>
    <w:rsid w:val="00127C3C"/>
    <w:rsid w:val="00131D57"/>
    <w:rsid w:val="001336BE"/>
    <w:rsid w:val="00140A4C"/>
    <w:rsid w:val="00144C76"/>
    <w:rsid w:val="00160312"/>
    <w:rsid w:val="0017054B"/>
    <w:rsid w:val="001878AD"/>
    <w:rsid w:val="001A0F1D"/>
    <w:rsid w:val="001B0625"/>
    <w:rsid w:val="001E113E"/>
    <w:rsid w:val="001E2379"/>
    <w:rsid w:val="001E60B7"/>
    <w:rsid w:val="001E7B1D"/>
    <w:rsid w:val="001F36AC"/>
    <w:rsid w:val="001F53EC"/>
    <w:rsid w:val="00215EBA"/>
    <w:rsid w:val="002605E1"/>
    <w:rsid w:val="00260BD6"/>
    <w:rsid w:val="002633D9"/>
    <w:rsid w:val="0026425F"/>
    <w:rsid w:val="002649E4"/>
    <w:rsid w:val="00265038"/>
    <w:rsid w:val="00273591"/>
    <w:rsid w:val="002820DF"/>
    <w:rsid w:val="002911EF"/>
    <w:rsid w:val="002B3E42"/>
    <w:rsid w:val="002D0783"/>
    <w:rsid w:val="002D6F93"/>
    <w:rsid w:val="002E3751"/>
    <w:rsid w:val="002E7B3A"/>
    <w:rsid w:val="0031010D"/>
    <w:rsid w:val="00323A1F"/>
    <w:rsid w:val="00326DE6"/>
    <w:rsid w:val="00326E5D"/>
    <w:rsid w:val="0037269D"/>
    <w:rsid w:val="003833D2"/>
    <w:rsid w:val="00384F88"/>
    <w:rsid w:val="00391347"/>
    <w:rsid w:val="003A5127"/>
    <w:rsid w:val="003B34A7"/>
    <w:rsid w:val="003D5C8D"/>
    <w:rsid w:val="003F5F60"/>
    <w:rsid w:val="00433334"/>
    <w:rsid w:val="00434128"/>
    <w:rsid w:val="0044309F"/>
    <w:rsid w:val="00445831"/>
    <w:rsid w:val="00457698"/>
    <w:rsid w:val="00477D2D"/>
    <w:rsid w:val="00482DFF"/>
    <w:rsid w:val="004B02CA"/>
    <w:rsid w:val="004B0C6C"/>
    <w:rsid w:val="004B1BF1"/>
    <w:rsid w:val="004C743A"/>
    <w:rsid w:val="004E3271"/>
    <w:rsid w:val="0050558B"/>
    <w:rsid w:val="0051515F"/>
    <w:rsid w:val="00527350"/>
    <w:rsid w:val="005327E1"/>
    <w:rsid w:val="005359E4"/>
    <w:rsid w:val="005363EE"/>
    <w:rsid w:val="00537954"/>
    <w:rsid w:val="00542115"/>
    <w:rsid w:val="00544517"/>
    <w:rsid w:val="00547013"/>
    <w:rsid w:val="005658DE"/>
    <w:rsid w:val="0056687E"/>
    <w:rsid w:val="00572C59"/>
    <w:rsid w:val="005825C8"/>
    <w:rsid w:val="005831DB"/>
    <w:rsid w:val="005903FB"/>
    <w:rsid w:val="0059648B"/>
    <w:rsid w:val="005A04A9"/>
    <w:rsid w:val="005A4436"/>
    <w:rsid w:val="005A6EC7"/>
    <w:rsid w:val="005E3E1D"/>
    <w:rsid w:val="005F16F3"/>
    <w:rsid w:val="005F5F88"/>
    <w:rsid w:val="00600E74"/>
    <w:rsid w:val="00634CDF"/>
    <w:rsid w:val="00642BE6"/>
    <w:rsid w:val="00645BEC"/>
    <w:rsid w:val="00652D04"/>
    <w:rsid w:val="0065526D"/>
    <w:rsid w:val="00666D7D"/>
    <w:rsid w:val="00682125"/>
    <w:rsid w:val="00686C7E"/>
    <w:rsid w:val="00694F65"/>
    <w:rsid w:val="006955EE"/>
    <w:rsid w:val="006A3958"/>
    <w:rsid w:val="006A411C"/>
    <w:rsid w:val="006B39B9"/>
    <w:rsid w:val="006C2012"/>
    <w:rsid w:val="006C3383"/>
    <w:rsid w:val="006D55CB"/>
    <w:rsid w:val="006E35FF"/>
    <w:rsid w:val="006F2AF8"/>
    <w:rsid w:val="0070254C"/>
    <w:rsid w:val="00725755"/>
    <w:rsid w:val="0074077A"/>
    <w:rsid w:val="00757AB0"/>
    <w:rsid w:val="00774282"/>
    <w:rsid w:val="00795796"/>
    <w:rsid w:val="00795BDC"/>
    <w:rsid w:val="007A0B50"/>
    <w:rsid w:val="007B61F0"/>
    <w:rsid w:val="007C5182"/>
    <w:rsid w:val="007D3894"/>
    <w:rsid w:val="007E6483"/>
    <w:rsid w:val="007F6653"/>
    <w:rsid w:val="00801DE4"/>
    <w:rsid w:val="008106B8"/>
    <w:rsid w:val="008157C9"/>
    <w:rsid w:val="00816CEC"/>
    <w:rsid w:val="00831EF5"/>
    <w:rsid w:val="00841F3B"/>
    <w:rsid w:val="008442FE"/>
    <w:rsid w:val="00860A2F"/>
    <w:rsid w:val="00860D33"/>
    <w:rsid w:val="00872E34"/>
    <w:rsid w:val="00883194"/>
    <w:rsid w:val="00896408"/>
    <w:rsid w:val="00896993"/>
    <w:rsid w:val="008A436A"/>
    <w:rsid w:val="008D0561"/>
    <w:rsid w:val="008D58D2"/>
    <w:rsid w:val="008D6724"/>
    <w:rsid w:val="009024E6"/>
    <w:rsid w:val="009041FE"/>
    <w:rsid w:val="00911367"/>
    <w:rsid w:val="00911F14"/>
    <w:rsid w:val="009310BE"/>
    <w:rsid w:val="009315B9"/>
    <w:rsid w:val="00933781"/>
    <w:rsid w:val="00941DCE"/>
    <w:rsid w:val="0094290D"/>
    <w:rsid w:val="00962179"/>
    <w:rsid w:val="00970045"/>
    <w:rsid w:val="00970820"/>
    <w:rsid w:val="00995D17"/>
    <w:rsid w:val="009A39B4"/>
    <w:rsid w:val="009A67EE"/>
    <w:rsid w:val="009A6E06"/>
    <w:rsid w:val="009B20FF"/>
    <w:rsid w:val="009B3A44"/>
    <w:rsid w:val="009B6A50"/>
    <w:rsid w:val="009B72D1"/>
    <w:rsid w:val="009D0B8F"/>
    <w:rsid w:val="009E005E"/>
    <w:rsid w:val="009E6FA8"/>
    <w:rsid w:val="009F29FF"/>
    <w:rsid w:val="00A04F16"/>
    <w:rsid w:val="00A07D03"/>
    <w:rsid w:val="00A309A9"/>
    <w:rsid w:val="00A40E19"/>
    <w:rsid w:val="00A47048"/>
    <w:rsid w:val="00A72600"/>
    <w:rsid w:val="00A73EA3"/>
    <w:rsid w:val="00AD2109"/>
    <w:rsid w:val="00AE36F0"/>
    <w:rsid w:val="00AF5439"/>
    <w:rsid w:val="00B02E3E"/>
    <w:rsid w:val="00B04FDA"/>
    <w:rsid w:val="00B10F92"/>
    <w:rsid w:val="00B15D10"/>
    <w:rsid w:val="00B22A11"/>
    <w:rsid w:val="00B27579"/>
    <w:rsid w:val="00B32306"/>
    <w:rsid w:val="00B40BAF"/>
    <w:rsid w:val="00B50C1B"/>
    <w:rsid w:val="00B5133D"/>
    <w:rsid w:val="00B52462"/>
    <w:rsid w:val="00B82936"/>
    <w:rsid w:val="00B90BB6"/>
    <w:rsid w:val="00BB0DAF"/>
    <w:rsid w:val="00BC1080"/>
    <w:rsid w:val="00BC17B1"/>
    <w:rsid w:val="00BE6D7F"/>
    <w:rsid w:val="00C21C2A"/>
    <w:rsid w:val="00C227CE"/>
    <w:rsid w:val="00C31F9A"/>
    <w:rsid w:val="00C42015"/>
    <w:rsid w:val="00C47ED8"/>
    <w:rsid w:val="00C507CC"/>
    <w:rsid w:val="00C80E0C"/>
    <w:rsid w:val="00C80F9D"/>
    <w:rsid w:val="00C84E70"/>
    <w:rsid w:val="00C976F0"/>
    <w:rsid w:val="00CB0B59"/>
    <w:rsid w:val="00CC08F6"/>
    <w:rsid w:val="00CC2410"/>
    <w:rsid w:val="00CC3B47"/>
    <w:rsid w:val="00CE6B70"/>
    <w:rsid w:val="00CF2AD8"/>
    <w:rsid w:val="00D12EB4"/>
    <w:rsid w:val="00D277AB"/>
    <w:rsid w:val="00D32368"/>
    <w:rsid w:val="00D32BBE"/>
    <w:rsid w:val="00D34DA4"/>
    <w:rsid w:val="00D42720"/>
    <w:rsid w:val="00D43799"/>
    <w:rsid w:val="00D50A3E"/>
    <w:rsid w:val="00D5417D"/>
    <w:rsid w:val="00D560AD"/>
    <w:rsid w:val="00D64848"/>
    <w:rsid w:val="00D70351"/>
    <w:rsid w:val="00D73C7F"/>
    <w:rsid w:val="00D879D4"/>
    <w:rsid w:val="00D94972"/>
    <w:rsid w:val="00D952CF"/>
    <w:rsid w:val="00D95607"/>
    <w:rsid w:val="00E15A3F"/>
    <w:rsid w:val="00E20A36"/>
    <w:rsid w:val="00E22B1B"/>
    <w:rsid w:val="00E24B36"/>
    <w:rsid w:val="00E2752E"/>
    <w:rsid w:val="00E41702"/>
    <w:rsid w:val="00E41FA8"/>
    <w:rsid w:val="00E44FE3"/>
    <w:rsid w:val="00E46018"/>
    <w:rsid w:val="00E5276C"/>
    <w:rsid w:val="00E74987"/>
    <w:rsid w:val="00E7638B"/>
    <w:rsid w:val="00E82F9E"/>
    <w:rsid w:val="00EA31A0"/>
    <w:rsid w:val="00ED474C"/>
    <w:rsid w:val="00ED4906"/>
    <w:rsid w:val="00EE0392"/>
    <w:rsid w:val="00EE49DC"/>
    <w:rsid w:val="00EF54FB"/>
    <w:rsid w:val="00F07E39"/>
    <w:rsid w:val="00F2347C"/>
    <w:rsid w:val="00F318BF"/>
    <w:rsid w:val="00F45376"/>
    <w:rsid w:val="00F46459"/>
    <w:rsid w:val="00F648B5"/>
    <w:rsid w:val="00F77531"/>
    <w:rsid w:val="00F87B5B"/>
    <w:rsid w:val="00F92EC6"/>
    <w:rsid w:val="00F9414E"/>
    <w:rsid w:val="00FA04A6"/>
    <w:rsid w:val="00FA351F"/>
    <w:rsid w:val="00FC3175"/>
    <w:rsid w:val="00FC77C4"/>
    <w:rsid w:val="00FD5759"/>
    <w:rsid w:val="00FF4AEA"/>
    <w:rsid w:val="00FF5B8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5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95796"/>
    <w:rPr>
      <w:rFonts w:ascii="Tahoma" w:hAnsi="Tahoma" w:cs="Tahoma"/>
      <w:sz w:val="16"/>
      <w:szCs w:val="16"/>
    </w:rPr>
  </w:style>
  <w:style w:type="character" w:customStyle="1" w:styleId="BalloonTextChar">
    <w:name w:val="Balloon Text Char"/>
    <w:basedOn w:val="DefaultParagraphFont"/>
    <w:link w:val="BalloonText"/>
    <w:rsid w:val="00795796"/>
    <w:rPr>
      <w:rFonts w:ascii="Tahoma" w:hAnsi="Tahoma" w:cs="Tahoma"/>
      <w:sz w:val="16"/>
      <w:szCs w:val="16"/>
    </w:rPr>
  </w:style>
  <w:style w:type="character" w:styleId="CommentReference">
    <w:name w:val="annotation reference"/>
    <w:basedOn w:val="DefaultParagraphFont"/>
    <w:rsid w:val="00D64848"/>
    <w:rPr>
      <w:sz w:val="16"/>
      <w:szCs w:val="16"/>
    </w:rPr>
  </w:style>
  <w:style w:type="paragraph" w:styleId="CommentText">
    <w:name w:val="annotation text"/>
    <w:basedOn w:val="Normal"/>
    <w:link w:val="CommentTextChar"/>
    <w:rsid w:val="00D64848"/>
    <w:rPr>
      <w:sz w:val="20"/>
      <w:szCs w:val="20"/>
    </w:rPr>
  </w:style>
  <w:style w:type="character" w:customStyle="1" w:styleId="CommentTextChar">
    <w:name w:val="Comment Text Char"/>
    <w:basedOn w:val="DefaultParagraphFont"/>
    <w:link w:val="CommentText"/>
    <w:rsid w:val="00D64848"/>
  </w:style>
  <w:style w:type="paragraph" w:styleId="CommentSubject">
    <w:name w:val="annotation subject"/>
    <w:basedOn w:val="CommentText"/>
    <w:next w:val="CommentText"/>
    <w:link w:val="CommentSubjectChar"/>
    <w:rsid w:val="00D64848"/>
    <w:rPr>
      <w:b/>
      <w:bCs/>
    </w:rPr>
  </w:style>
  <w:style w:type="character" w:customStyle="1" w:styleId="CommentSubjectChar">
    <w:name w:val="Comment Subject Char"/>
    <w:basedOn w:val="CommentTextChar"/>
    <w:link w:val="CommentSubject"/>
    <w:rsid w:val="00D64848"/>
    <w:rPr>
      <w:b/>
      <w:bCs/>
    </w:rPr>
  </w:style>
</w:styles>
</file>

<file path=word/webSettings.xml><?xml version="1.0" encoding="utf-8"?>
<w:webSettings xmlns:r="http://schemas.openxmlformats.org/officeDocument/2006/relationships" xmlns:w="http://schemas.openxmlformats.org/wordprocessingml/2006/main">
  <w:divs>
    <w:div w:id="590161690">
      <w:bodyDiv w:val="1"/>
      <w:marLeft w:val="0"/>
      <w:marRight w:val="0"/>
      <w:marTop w:val="0"/>
      <w:marBottom w:val="0"/>
      <w:divBdr>
        <w:top w:val="none" w:sz="0" w:space="0" w:color="auto"/>
        <w:left w:val="none" w:sz="0" w:space="0" w:color="auto"/>
        <w:bottom w:val="none" w:sz="0" w:space="0" w:color="auto"/>
        <w:right w:val="none" w:sz="0" w:space="0" w:color="auto"/>
      </w:divBdr>
    </w:div>
    <w:div w:id="1505899101">
      <w:bodyDiv w:val="1"/>
      <w:marLeft w:val="0"/>
      <w:marRight w:val="0"/>
      <w:marTop w:val="0"/>
      <w:marBottom w:val="0"/>
      <w:divBdr>
        <w:top w:val="none" w:sz="0" w:space="0" w:color="auto"/>
        <w:left w:val="none" w:sz="0" w:space="0" w:color="auto"/>
        <w:bottom w:val="none" w:sz="0" w:space="0" w:color="auto"/>
        <w:right w:val="none" w:sz="0" w:space="0" w:color="auto"/>
      </w:divBdr>
    </w:div>
    <w:div w:id="1718042460">
      <w:bodyDiv w:val="1"/>
      <w:marLeft w:val="0"/>
      <w:marRight w:val="0"/>
      <w:marTop w:val="0"/>
      <w:marBottom w:val="0"/>
      <w:divBdr>
        <w:top w:val="none" w:sz="0" w:space="0" w:color="auto"/>
        <w:left w:val="none" w:sz="0" w:space="0" w:color="auto"/>
        <w:bottom w:val="none" w:sz="0" w:space="0" w:color="auto"/>
        <w:right w:val="none" w:sz="0" w:space="0" w:color="auto"/>
      </w:divBdr>
    </w:div>
    <w:div w:id="207516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80C76-6A2D-4D39-99EC-F60E49B8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519</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Rahandusministeerium</Company>
  <LinksUpToDate>false</LinksUpToDate>
  <CharactersWithSpaces>3156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Tõnu Mertsina</dc:creator>
  <cp:lastModifiedBy>neles</cp:lastModifiedBy>
  <cp:revision>4</cp:revision>
  <cp:lastPrinted>2012-09-04T12:48:00Z</cp:lastPrinted>
  <dcterms:created xsi:type="dcterms:W3CDTF">2012-09-06T10:28:00Z</dcterms:created>
  <dcterms:modified xsi:type="dcterms:W3CDTF">2012-09-06T10:49:00Z</dcterms:modified>
</cp:coreProperties>
</file>